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6D" w:rsidRDefault="00717A52">
      <w:pPr>
        <w:pStyle w:val="TitleStyle"/>
      </w:pPr>
      <w:bookmarkStart w:id="0" w:name="_GoBack"/>
      <w:bookmarkEnd w:id="0"/>
      <w:r>
        <w:t>Odpady oraz uchylenie niektórych dyrektyw.</w:t>
      </w:r>
    </w:p>
    <w:p w:rsidR="00B1146D" w:rsidRDefault="00717A52">
      <w:pPr>
        <w:pStyle w:val="NormalStyle"/>
      </w:pPr>
      <w:r>
        <w:t>Dz.U.UE.L.2008.312.3 z dnia 2008.11.22</w:t>
      </w:r>
    </w:p>
    <w:p w:rsidR="00B1146D" w:rsidRDefault="00717A52">
      <w:pPr>
        <w:pStyle w:val="NormalStyle"/>
      </w:pPr>
      <w:r>
        <w:t>Status: Akt obowiązujący</w:t>
      </w:r>
    </w:p>
    <w:p w:rsidR="00B1146D" w:rsidRDefault="00717A52">
      <w:pPr>
        <w:pStyle w:val="NormalStyle"/>
      </w:pPr>
      <w:r>
        <w:t>Wersja od: 31 lipca 2015 r.  do: 3 lipca 2018 r.</w:t>
      </w:r>
    </w:p>
    <w:p w:rsidR="00B1146D" w:rsidRDefault="00717A52">
      <w:pPr>
        <w:spacing w:after="0"/>
      </w:pPr>
      <w:r>
        <w:br/>
      </w:r>
    </w:p>
    <w:p w:rsidR="00B1146D" w:rsidRDefault="00717A52">
      <w:pPr>
        <w:spacing w:after="0"/>
      </w:pPr>
      <w:r>
        <w:rPr>
          <w:b/>
          <w:color w:val="000000"/>
        </w:rPr>
        <w:t>Wejście w życie:</w:t>
      </w:r>
    </w:p>
    <w:p w:rsidR="00B1146D" w:rsidRDefault="00717A52">
      <w:pPr>
        <w:spacing w:after="0"/>
      </w:pPr>
      <w:r>
        <w:rPr>
          <w:color w:val="000000"/>
        </w:rPr>
        <w:t>12 grudnia 2008 r.</w:t>
      </w:r>
    </w:p>
    <w:p w:rsidR="00B1146D" w:rsidRDefault="00717A52">
      <w:pPr>
        <w:spacing w:after="0"/>
      </w:pPr>
      <w:r>
        <w:rPr>
          <w:b/>
          <w:color w:val="000000"/>
        </w:rPr>
        <w:t>Numer CELEX:</w:t>
      </w:r>
    </w:p>
    <w:p w:rsidR="00B1146D" w:rsidRDefault="00717A52">
      <w:pPr>
        <w:spacing w:after="150"/>
      </w:pPr>
      <w:r>
        <w:rPr>
          <w:color w:val="000000"/>
        </w:rPr>
        <w:t>32008L0098</w:t>
      </w:r>
    </w:p>
    <w:p w:rsidR="00B1146D" w:rsidRDefault="00717A52">
      <w:pPr>
        <w:spacing w:after="0"/>
      </w:pPr>
      <w:r>
        <w:br/>
      </w:r>
    </w:p>
    <w:p w:rsidR="00B1146D" w:rsidRDefault="00717A52">
      <w:pPr>
        <w:spacing w:before="146" w:after="0"/>
        <w:jc w:val="center"/>
      </w:pPr>
      <w:r>
        <w:rPr>
          <w:b/>
          <w:color w:val="000000"/>
        </w:rPr>
        <w:t xml:space="preserve">DYREKTYWA PARLAMENTU EUROPEJSKIEGO </w:t>
      </w:r>
      <w:r>
        <w:rPr>
          <w:b/>
          <w:color w:val="000000"/>
        </w:rPr>
        <w:t>I RADY 2008/98/WE</w:t>
      </w:r>
    </w:p>
    <w:p w:rsidR="00B1146D" w:rsidRDefault="00717A52">
      <w:pPr>
        <w:spacing w:before="80" w:after="0"/>
        <w:jc w:val="center"/>
      </w:pPr>
      <w:r>
        <w:rPr>
          <w:color w:val="000000"/>
        </w:rPr>
        <w:t>z dnia 19 listopada 2008 r.</w:t>
      </w:r>
    </w:p>
    <w:p w:rsidR="00B1146D" w:rsidRDefault="00717A52">
      <w:pPr>
        <w:spacing w:before="80" w:after="0"/>
        <w:jc w:val="center"/>
      </w:pPr>
      <w:r>
        <w:rPr>
          <w:b/>
          <w:color w:val="000000"/>
        </w:rPr>
        <w:t>w sprawie odpadów oraz uchylająca niektóre dyrektywy</w:t>
      </w:r>
    </w:p>
    <w:p w:rsidR="00B1146D" w:rsidRDefault="00717A52">
      <w:pPr>
        <w:spacing w:after="0"/>
        <w:jc w:val="center"/>
      </w:pPr>
      <w:r>
        <w:rPr>
          <w:color w:val="000000"/>
        </w:rPr>
        <w:t>(Tekst mający znaczenie dla EOG)</w:t>
      </w:r>
    </w:p>
    <w:p w:rsidR="00B1146D" w:rsidRDefault="00717A52">
      <w:pPr>
        <w:spacing w:before="80" w:after="0"/>
        <w:jc w:val="center"/>
      </w:pPr>
      <w:r>
        <w:rPr>
          <w:color w:val="000000"/>
        </w:rPr>
        <w:t>PARLAMENT EUROPEJSKI I RADA UNII EUROPEJSKIEJ,</w:t>
      </w:r>
    </w:p>
    <w:p w:rsidR="00B1146D" w:rsidRDefault="00717A52">
      <w:pPr>
        <w:spacing w:before="25" w:after="0"/>
        <w:jc w:val="center"/>
      </w:pPr>
      <w:r>
        <w:rPr>
          <w:color w:val="000000"/>
        </w:rPr>
        <w:t>uwzględniając Traktat ustanawiający Wspólnotę Europejską, w szczególności jeg</w:t>
      </w:r>
      <w:r>
        <w:rPr>
          <w:color w:val="000000"/>
        </w:rPr>
        <w:t xml:space="preserve">o </w:t>
      </w:r>
      <w:r>
        <w:rPr>
          <w:color w:val="1B1B1B"/>
        </w:rPr>
        <w:t>art. 175 ust. 1</w:t>
      </w:r>
      <w:r>
        <w:rPr>
          <w:color w:val="000000"/>
        </w:rPr>
        <w:t>,</w:t>
      </w:r>
    </w:p>
    <w:p w:rsidR="00B1146D" w:rsidRDefault="00717A52">
      <w:pPr>
        <w:spacing w:before="25" w:after="0"/>
        <w:jc w:val="center"/>
      </w:pPr>
      <w:r>
        <w:rPr>
          <w:color w:val="000000"/>
        </w:rPr>
        <w:t>uwzględniając wniosek Komisji,</w:t>
      </w:r>
    </w:p>
    <w:p w:rsidR="00B1146D" w:rsidRDefault="00717A52">
      <w:pPr>
        <w:spacing w:before="25" w:after="0"/>
        <w:jc w:val="center"/>
      </w:pPr>
      <w:r>
        <w:rPr>
          <w:color w:val="000000"/>
        </w:rPr>
        <w:t xml:space="preserve">uwzględniając </w:t>
      </w:r>
      <w:r>
        <w:rPr>
          <w:color w:val="1B1B1B"/>
        </w:rPr>
        <w:t>opinię</w:t>
      </w:r>
      <w:r>
        <w:rPr>
          <w:color w:val="000000"/>
        </w:rPr>
        <w:t xml:space="preserve"> Europejskiego Komitetu Ekonomiczno-Społecznego </w:t>
      </w:r>
      <w:r>
        <w:rPr>
          <w:color w:val="000000"/>
          <w:vertAlign w:val="superscript"/>
        </w:rPr>
        <w:t>1</w:t>
      </w:r>
      <w:r>
        <w:rPr>
          <w:color w:val="000000"/>
        </w:rPr>
        <w:t xml:space="preserve"> ,</w:t>
      </w:r>
    </w:p>
    <w:p w:rsidR="00B1146D" w:rsidRDefault="00717A52">
      <w:pPr>
        <w:spacing w:before="25" w:after="0"/>
        <w:jc w:val="center"/>
      </w:pPr>
      <w:r>
        <w:rPr>
          <w:color w:val="000000"/>
        </w:rPr>
        <w:t xml:space="preserve">uwzględniając </w:t>
      </w:r>
      <w:r>
        <w:rPr>
          <w:color w:val="1B1B1B"/>
        </w:rPr>
        <w:t>opinię</w:t>
      </w:r>
      <w:r>
        <w:rPr>
          <w:color w:val="000000"/>
        </w:rPr>
        <w:t xml:space="preserve"> Komitetu Regionów </w:t>
      </w:r>
      <w:r>
        <w:rPr>
          <w:color w:val="000000"/>
          <w:vertAlign w:val="superscript"/>
        </w:rPr>
        <w:t>2</w:t>
      </w:r>
      <w:r>
        <w:rPr>
          <w:color w:val="000000"/>
        </w:rPr>
        <w:t xml:space="preserve"> ,</w:t>
      </w:r>
    </w:p>
    <w:p w:rsidR="00B1146D" w:rsidRDefault="00717A52">
      <w:pPr>
        <w:spacing w:before="25" w:after="0"/>
        <w:jc w:val="center"/>
      </w:pPr>
      <w:r>
        <w:rPr>
          <w:color w:val="000000"/>
        </w:rPr>
        <w:t xml:space="preserve">stanowiąc zgodnie z procedurą określoną w </w:t>
      </w:r>
      <w:r>
        <w:rPr>
          <w:color w:val="1B1B1B"/>
        </w:rPr>
        <w:t>art. 251</w:t>
      </w:r>
      <w:r>
        <w:rPr>
          <w:color w:val="000000"/>
        </w:rPr>
        <w:t xml:space="preserve"> Traktatu </w:t>
      </w:r>
      <w:r>
        <w:rPr>
          <w:color w:val="000000"/>
          <w:vertAlign w:val="superscript"/>
        </w:rPr>
        <w:t>3</w:t>
      </w:r>
      <w:r>
        <w:rPr>
          <w:color w:val="000000"/>
        </w:rPr>
        <w:t xml:space="preserve"> ,</w:t>
      </w:r>
    </w:p>
    <w:p w:rsidR="00B1146D" w:rsidRDefault="00717A52">
      <w:pPr>
        <w:spacing w:before="80" w:after="0"/>
        <w:jc w:val="center"/>
      </w:pPr>
      <w:r>
        <w:rPr>
          <w:color w:val="000000"/>
        </w:rPr>
        <w:t>a także mając na uwadze, co</w:t>
      </w:r>
      <w:r>
        <w:rPr>
          <w:color w:val="000000"/>
        </w:rPr>
        <w:t xml:space="preserve"> następuje:</w:t>
      </w:r>
    </w:p>
    <w:p w:rsidR="00B1146D" w:rsidRDefault="00717A52">
      <w:pPr>
        <w:spacing w:before="25" w:after="0"/>
      </w:pPr>
      <w:r>
        <w:rPr>
          <w:color w:val="000000"/>
        </w:rPr>
        <w:t xml:space="preserve">(1) </w:t>
      </w:r>
      <w:r>
        <w:rPr>
          <w:color w:val="1B1B1B"/>
        </w:rPr>
        <w:t>Dyrektywa</w:t>
      </w:r>
      <w:r>
        <w:rPr>
          <w:color w:val="000000"/>
        </w:rPr>
        <w:t xml:space="preserve"> 2006/12/WE Parlamentu Europejskiego i Rady z dnia 5 kwietnia 2006 r. w sprawie odpadów </w:t>
      </w:r>
      <w:r>
        <w:rPr>
          <w:color w:val="000000"/>
          <w:vertAlign w:val="superscript"/>
        </w:rPr>
        <w:t>4</w:t>
      </w:r>
      <w:r>
        <w:rPr>
          <w:color w:val="000000"/>
        </w:rPr>
        <w:t xml:space="preserve">  ustanawia ramy prawne dotyczące postępowania z odpadami we Wspólnocie. Definiuje ona kluczowe pojęcia, takie jak odpady, odzysk i unieszkodl</w:t>
      </w:r>
      <w:r>
        <w:rPr>
          <w:color w:val="000000"/>
        </w:rPr>
        <w:t>iwianie oraz ustanawia istotne wymogi w zakresie gospodarowania odpadami, w szczególności obowiązek dla zakładu lub przedsiębiorstwa wykonującego czynności związane z gospodarowaniem odpadami do uzyskania zezwolenia lub rejestracji oraz obowiązek dla państ</w:t>
      </w:r>
      <w:r>
        <w:rPr>
          <w:color w:val="000000"/>
        </w:rPr>
        <w:t>w członkowskich do sporządzania planów gospodarki odpadami. Określa ona także główne zasady, takie jak obowiązek postępowania z odpadami w sposób niewywierający ujemnego oddziaływania na środowisko lub zdrowie ludzkie, zachęcanie do stosowania hierarchii p</w:t>
      </w:r>
      <w:r>
        <w:rPr>
          <w:color w:val="000000"/>
        </w:rPr>
        <w:t>ostępowania z odpadami oraz - zgodnie z zasadą "zanieczyszczający płaci" - wymóg, aby koszty unieszkodliwiania odpadów były ponoszone przez posiadacza odpadów lub przez poprzednich posiadaczy, lub przez producentów produktów, z których te odpady powstały.</w:t>
      </w:r>
    </w:p>
    <w:p w:rsidR="00B1146D" w:rsidRDefault="00717A52">
      <w:pPr>
        <w:spacing w:before="25" w:after="0"/>
      </w:pPr>
      <w:r>
        <w:rPr>
          <w:color w:val="000000"/>
        </w:rPr>
        <w:t xml:space="preserve">(2) </w:t>
      </w:r>
      <w:r>
        <w:rPr>
          <w:color w:val="1B1B1B"/>
        </w:rPr>
        <w:t>Decyzja</w:t>
      </w:r>
      <w:r>
        <w:rPr>
          <w:color w:val="000000"/>
        </w:rPr>
        <w:t xml:space="preserve"> nr 1600/2002/WE Parlamentu Europejskiego i Rady z dnia 22 lipca 2002 r. ustanawiająca szósty wspólnotowy program działań w zakresie środowiska </w:t>
      </w:r>
      <w:r>
        <w:rPr>
          <w:color w:val="000000"/>
          <w:vertAlign w:val="superscript"/>
        </w:rPr>
        <w:t>5</w:t>
      </w:r>
      <w:r>
        <w:rPr>
          <w:color w:val="000000"/>
        </w:rPr>
        <w:t xml:space="preserve">  wzywa do opracowania lub zmiany prawodawstwa w sprawie odpadów, w tym wyjaśnienia różnicy pomiędzy</w:t>
      </w:r>
      <w:r>
        <w:rPr>
          <w:color w:val="000000"/>
        </w:rPr>
        <w:t xml:space="preserve"> odpadami i substancjami lub przedmiotami niebędącymi odpadami oraz do </w:t>
      </w:r>
      <w:r>
        <w:rPr>
          <w:color w:val="000000"/>
        </w:rPr>
        <w:lastRenderedPageBreak/>
        <w:t>opracowania środków dotyczących zapobiegania powstawaniu odpadów i gospodarowania nimi, w tym również określenia celów.</w:t>
      </w:r>
    </w:p>
    <w:p w:rsidR="00B1146D" w:rsidRDefault="00717A52">
      <w:pPr>
        <w:spacing w:before="25" w:after="0"/>
      </w:pPr>
      <w:r>
        <w:rPr>
          <w:color w:val="000000"/>
        </w:rPr>
        <w:t xml:space="preserve">(3) Komunikat Komisji z dnia 27 maja 2003 r. "W kierunku </w:t>
      </w:r>
      <w:r>
        <w:rPr>
          <w:color w:val="000000"/>
        </w:rPr>
        <w:t>strategii tematycznej dotyczącej zapobiegania powstawaniu odpadów i ich recyklingu" zwraca uwagę na potrzebę oceny istniejących definicji odzysku i unieszkodliwiania, potrzebę utworzenia definicji recyklingu możliwej do powszechnego zastosowania oraz potrz</w:t>
      </w:r>
      <w:r>
        <w:rPr>
          <w:color w:val="000000"/>
        </w:rPr>
        <w:t>ebę debaty na temat definicji odpadów.</w:t>
      </w:r>
    </w:p>
    <w:p w:rsidR="00B1146D" w:rsidRDefault="00717A52">
      <w:pPr>
        <w:spacing w:before="25" w:after="0"/>
      </w:pPr>
      <w:r>
        <w:rPr>
          <w:color w:val="000000"/>
        </w:rPr>
        <w:t xml:space="preserve">(4) W swojej rezolucji z dnia 20 kwietnia 2004 r. w sprawie wyżej wymienionego komunikatu </w:t>
      </w:r>
      <w:r>
        <w:rPr>
          <w:color w:val="000000"/>
          <w:vertAlign w:val="superscript"/>
        </w:rPr>
        <w:t>6</w:t>
      </w:r>
      <w:r>
        <w:rPr>
          <w:color w:val="000000"/>
        </w:rPr>
        <w:t xml:space="preserve"> , Parlament Europejski wezwał Komisję do rozważenia rozszerzenia </w:t>
      </w:r>
      <w:r>
        <w:rPr>
          <w:color w:val="1B1B1B"/>
        </w:rPr>
        <w:t>dyrektywy</w:t>
      </w:r>
      <w:r>
        <w:rPr>
          <w:color w:val="000000"/>
        </w:rPr>
        <w:t xml:space="preserve"> Rady 96/61/WE z dnia 24 września 1996 r. dotyczące</w:t>
      </w:r>
      <w:r>
        <w:rPr>
          <w:color w:val="000000"/>
        </w:rPr>
        <w:t xml:space="preserve">j zintegrowanego zapobiegania zanieczyszczeniom i ich kontroli </w:t>
      </w:r>
      <w:r>
        <w:rPr>
          <w:color w:val="000000"/>
          <w:vertAlign w:val="superscript"/>
        </w:rPr>
        <w:t>7</w:t>
      </w:r>
      <w:r>
        <w:rPr>
          <w:color w:val="000000"/>
        </w:rPr>
        <w:t xml:space="preserve">  na cały sektor odpadów. Zwrócił się on do Komisji także o wyraźne rozróżnienie między odzyskiem a unieszkodliwianiem oraz o wyjaśnienie różnicy między odpadami a substancjami lub przedmiotami niebędącymi odpadami.</w:t>
      </w:r>
    </w:p>
    <w:p w:rsidR="00B1146D" w:rsidRDefault="00717A52">
      <w:pPr>
        <w:spacing w:before="25" w:after="0"/>
      </w:pPr>
      <w:r>
        <w:rPr>
          <w:color w:val="000000"/>
        </w:rPr>
        <w:t xml:space="preserve">(5) W swoich konkluzjach z dnia 1 lipca </w:t>
      </w:r>
      <w:r>
        <w:rPr>
          <w:color w:val="000000"/>
        </w:rPr>
        <w:t xml:space="preserve">2004 r. Rada wezwała Komisję do przedstawienia wniosku dotyczącego zmiany niektórych aspektów </w:t>
      </w:r>
      <w:r>
        <w:rPr>
          <w:color w:val="1B1B1B"/>
        </w:rPr>
        <w:t>dyrektywy</w:t>
      </w:r>
      <w:r>
        <w:rPr>
          <w:color w:val="000000"/>
        </w:rPr>
        <w:t xml:space="preserve"> 75/442/EWG, uchylonej i zastąpionej </w:t>
      </w:r>
      <w:r>
        <w:rPr>
          <w:color w:val="1B1B1B"/>
        </w:rPr>
        <w:t>dyrektywą</w:t>
      </w:r>
      <w:r>
        <w:rPr>
          <w:color w:val="000000"/>
        </w:rPr>
        <w:t xml:space="preserve"> 2006/12/WE w celu wyjaśnienia różnicy między odpadami a substancjami lub przedmiotami niebędącymi odpadami</w:t>
      </w:r>
      <w:r>
        <w:rPr>
          <w:color w:val="000000"/>
        </w:rPr>
        <w:t xml:space="preserve"> oraz miedzy odzyskiem a unieszkodliwianiem.</w:t>
      </w:r>
    </w:p>
    <w:p w:rsidR="00B1146D" w:rsidRDefault="00717A52">
      <w:pPr>
        <w:spacing w:before="25" w:after="0"/>
      </w:pPr>
      <w:r>
        <w:rPr>
          <w:color w:val="000000"/>
        </w:rPr>
        <w:t>(6) Głównym celem każdej polityki w dziedzinie odpadów powinno być zmniejszenie negatywnych skutków wytwarzania odpadów i gospodarowania nimi dla zdrowia ludzkiego i środowiska. Polityka dotycząca odpadów powinn</w:t>
      </w:r>
      <w:r>
        <w:rPr>
          <w:color w:val="000000"/>
        </w:rPr>
        <w:t>a również zmierzać do ograniczenia wykorzystania zasobów oraz sprzyjać praktycznemu zastosowaniu hierarchii postępowania z odpadami.</w:t>
      </w:r>
    </w:p>
    <w:p w:rsidR="00B1146D" w:rsidRDefault="00717A52">
      <w:pPr>
        <w:spacing w:before="25" w:after="0"/>
      </w:pPr>
      <w:r>
        <w:rPr>
          <w:color w:val="000000"/>
        </w:rPr>
        <w:t xml:space="preserve">(7) W swojej </w:t>
      </w:r>
      <w:r>
        <w:rPr>
          <w:color w:val="1B1B1B"/>
        </w:rPr>
        <w:t>rezolucji</w:t>
      </w:r>
      <w:r>
        <w:rPr>
          <w:color w:val="000000"/>
        </w:rPr>
        <w:t xml:space="preserve"> z dnia 24 lutego 1997 r. w sprawie wspólnotowej strategii w zakresie gospodarowania odpadami </w:t>
      </w:r>
      <w:r>
        <w:rPr>
          <w:color w:val="000000"/>
          <w:vertAlign w:val="superscript"/>
        </w:rPr>
        <w:t>8</w:t>
      </w:r>
      <w:r>
        <w:rPr>
          <w:color w:val="000000"/>
        </w:rPr>
        <w:t xml:space="preserve">  Rada</w:t>
      </w:r>
      <w:r>
        <w:rPr>
          <w:color w:val="000000"/>
        </w:rPr>
        <w:t xml:space="preserve"> potwierdziła, że naczelnym priorytetem w gospodarce odpadami powinno być zapobieganie ich powstawaniu oraz że ponowne wykorzystanie i recykling materiałów powinny mieć pierwszeństwo przed odzyskiem energii z odpadów, o ile i tylko w takim zakresie, w jaki</w:t>
      </w:r>
      <w:r>
        <w:rPr>
          <w:color w:val="000000"/>
        </w:rPr>
        <w:t>m są to najbardziej ekologiczne z dostępnych metod.</w:t>
      </w:r>
    </w:p>
    <w:p w:rsidR="00B1146D" w:rsidRDefault="00717A52">
      <w:pPr>
        <w:spacing w:before="25" w:after="0"/>
      </w:pPr>
      <w:r>
        <w:rPr>
          <w:color w:val="000000"/>
        </w:rPr>
        <w:t xml:space="preserve">(8) Konieczna jest zatem zmiana </w:t>
      </w:r>
      <w:r>
        <w:rPr>
          <w:color w:val="1B1B1B"/>
        </w:rPr>
        <w:t>dyrektywy</w:t>
      </w:r>
      <w:r>
        <w:rPr>
          <w:color w:val="000000"/>
        </w:rPr>
        <w:t xml:space="preserve"> 2006/12/WE w celu wyjaśnienia kluczowych pojęć, takich jak definicje odpadów, odzysku i unieszkodliwiania, aby wzmocnić środki konieczne do przeciwdziałania powst</w:t>
      </w:r>
      <w:r>
        <w:rPr>
          <w:color w:val="000000"/>
        </w:rPr>
        <w:t xml:space="preserve">awaniu odpadów, wprowadzić podejście uwzględniające cały cykl życia produktów i materiałów, a nie tylko fazę odpadu, oraz skupić się na zmniejszaniu oddziaływania na środowisko, jakie wywiera wytwarzanie odpadów i gospodarowanie nimi, co podniesie wartość </w:t>
      </w:r>
      <w:r>
        <w:rPr>
          <w:color w:val="000000"/>
        </w:rPr>
        <w:t xml:space="preserve">ekonomiczną odpadów. Ponadto powinno zachęcać się do poddawania odpadów odzyskowi oraz wykorzystywania odzyskanych materiałów w celu ochrony zasobów naturalnych. W celu zachowania przejrzystości i czytelności, </w:t>
      </w:r>
      <w:r>
        <w:rPr>
          <w:color w:val="1B1B1B"/>
        </w:rPr>
        <w:t>dyrektywę</w:t>
      </w:r>
      <w:r>
        <w:rPr>
          <w:color w:val="000000"/>
        </w:rPr>
        <w:t xml:space="preserve"> 2006/12/WE należy uchylić i zastąpić</w:t>
      </w:r>
      <w:r>
        <w:rPr>
          <w:color w:val="000000"/>
        </w:rPr>
        <w:t xml:space="preserve"> nową dyrektywą.</w:t>
      </w:r>
    </w:p>
    <w:p w:rsidR="00B1146D" w:rsidRDefault="00717A52">
      <w:pPr>
        <w:spacing w:before="25" w:after="0"/>
      </w:pPr>
      <w:r>
        <w:rPr>
          <w:color w:val="000000"/>
        </w:rPr>
        <w:t>(9) Ze względu na fakt, że większość istotnych działań w zakresie gospodarowania odpadami objęta jest prawodawstwem wspólnotowym z dziedziny ochrony środowiska, ważne jest, aby niniejsza dyrektywa została dostosowana do tego podejścia. Poł</w:t>
      </w:r>
      <w:r>
        <w:rPr>
          <w:color w:val="000000"/>
        </w:rPr>
        <w:t xml:space="preserve">ożenie nacisku na cele związane ze środowiskiem określone w </w:t>
      </w:r>
      <w:r>
        <w:rPr>
          <w:color w:val="1B1B1B"/>
        </w:rPr>
        <w:t>art. 174</w:t>
      </w:r>
      <w:r>
        <w:rPr>
          <w:color w:val="000000"/>
        </w:rPr>
        <w:t xml:space="preserve"> Traktatu umożliwiłoby skoncentrowanie się na oddziaływaniu na środowisko wywieranym przez wytwarzanie odpadów i gospodarowanie nimi w trakcie całego cyklu życia zasobów. W związku z tym, </w:t>
      </w:r>
      <w:r>
        <w:rPr>
          <w:color w:val="000000"/>
        </w:rPr>
        <w:t xml:space="preserve">podstawą prawną niniejszej dyrektywy powinien być </w:t>
      </w:r>
      <w:r>
        <w:rPr>
          <w:color w:val="1B1B1B"/>
        </w:rPr>
        <w:t>art. 175</w:t>
      </w:r>
      <w:r>
        <w:rPr>
          <w:color w:val="000000"/>
        </w:rPr>
        <w:t>.</w:t>
      </w:r>
    </w:p>
    <w:p w:rsidR="00B1146D" w:rsidRDefault="00717A52">
      <w:pPr>
        <w:spacing w:before="25" w:after="0"/>
      </w:pPr>
      <w:r>
        <w:rPr>
          <w:color w:val="000000"/>
        </w:rPr>
        <w:lastRenderedPageBreak/>
        <w:t>(10) Skuteczne i spójne przepisy dotyczące przetwarzania odpadów powinny mieć zastosowanie, z pewnymi wyłączeniami, do mienia ruchomego, którego jego posiadacz pozbywa się, zamierza pozbyć się lub</w:t>
      </w:r>
      <w:r>
        <w:rPr>
          <w:color w:val="000000"/>
        </w:rPr>
        <w:t xml:space="preserve"> do którego pozbycia się został zobowiązany.</w:t>
      </w:r>
    </w:p>
    <w:p w:rsidR="00B1146D" w:rsidRDefault="00717A52">
      <w:pPr>
        <w:spacing w:before="25" w:after="0"/>
      </w:pPr>
      <w:r>
        <w:rPr>
          <w:color w:val="000000"/>
        </w:rPr>
        <w:t>(11) Klasyfikowanie niezanieczyszczonej gleby wydobytej podczas robót ziemnych i innego materiału występującego w stanie naturalnym, wykorzystywanych w innych miejscach niż to, w którym zostały one wydobyte, jak</w:t>
      </w:r>
      <w:r>
        <w:rPr>
          <w:color w:val="000000"/>
        </w:rPr>
        <w:t>o odpadu powinno być dokonywane zgodnie z definicją odpadów i przepisami dotyczącymi produktów ubocznych lub zniesienia statusu odpadu zawartymi w niniejszej dyrektywie.</w:t>
      </w:r>
    </w:p>
    <w:p w:rsidR="00B1146D" w:rsidRDefault="00717A52">
      <w:pPr>
        <w:spacing w:before="25" w:after="0"/>
      </w:pPr>
      <w:r>
        <w:rPr>
          <w:color w:val="000000"/>
        </w:rPr>
        <w:t xml:space="preserve">(12) </w:t>
      </w:r>
      <w:r>
        <w:rPr>
          <w:color w:val="1B1B1B"/>
        </w:rPr>
        <w:t>Rozporządzenie</w:t>
      </w:r>
      <w:r>
        <w:rPr>
          <w:color w:val="000000"/>
        </w:rPr>
        <w:t xml:space="preserve"> (WE) nr 1774/2002 Parlamentu Europejskiego i Rady z dnia 3 paździe</w:t>
      </w:r>
      <w:r>
        <w:rPr>
          <w:color w:val="000000"/>
        </w:rPr>
        <w:t xml:space="preserve">rnika 2002 r. ustanawiające przepisy sanitarne dotyczące produktów ubocznych pochodzenia zwierzęcego nieprzeznaczonych do spożycia przez ludzi </w:t>
      </w:r>
      <w:r>
        <w:rPr>
          <w:color w:val="000000"/>
          <w:vertAlign w:val="superscript"/>
        </w:rPr>
        <w:t>9</w:t>
      </w:r>
      <w:r>
        <w:rPr>
          <w:color w:val="000000"/>
        </w:rPr>
        <w:t xml:space="preserve">  przewiduje między innymi stosowne kontrole w zakresie zbierania, transportu, przetwarzania, wykorzystywania or</w:t>
      </w:r>
      <w:r>
        <w:rPr>
          <w:color w:val="000000"/>
        </w:rPr>
        <w:t>az unieszkodliwiania wszelkich produktów ubocznych pochodzenia zwierzęcego, w tym odpadów pochodzenia zwierzęcego, zapobiegając tym samym stwarzaniu przez nie zagrożenia dla zdrowia zwierząt i zdrowia publicznego. Dlatego też konieczne jest wyjaśnienie zwi</w:t>
      </w:r>
      <w:r>
        <w:rPr>
          <w:color w:val="000000"/>
        </w:rPr>
        <w:t>ązku z tym rozporządzeniem i uniknięcie powielenia przepisów poprzez wyłączenie z zakresu niniejszej dyrektywy produktów ubocznych pochodzenia zwierzęcego, w przypadku gdy mają one być przeznaczone do zastosowań, które nie uznaje się za działania na odpada</w:t>
      </w:r>
      <w:r>
        <w:rPr>
          <w:color w:val="000000"/>
        </w:rPr>
        <w:t>ch.</w:t>
      </w:r>
    </w:p>
    <w:p w:rsidR="00B1146D" w:rsidRDefault="00717A52">
      <w:pPr>
        <w:spacing w:before="25" w:after="0"/>
      </w:pPr>
      <w:r>
        <w:rPr>
          <w:color w:val="000000"/>
        </w:rPr>
        <w:t xml:space="preserve">(13) W świetle doświadczeń zebranych w trakcie stosowania </w:t>
      </w:r>
      <w:r>
        <w:rPr>
          <w:color w:val="1B1B1B"/>
        </w:rPr>
        <w:t>rozporządzenia</w:t>
      </w:r>
      <w:r>
        <w:rPr>
          <w:color w:val="000000"/>
        </w:rPr>
        <w:t xml:space="preserve"> (WE) nr 1774/2002 właściwe jest ścisłe określenie zakresu prawodawstwa dotyczącego odpadów oraz przepisów dotyczących odpadów niebezpiecznych w odniesieniu do produktów ubocznych </w:t>
      </w:r>
      <w:r>
        <w:rPr>
          <w:color w:val="000000"/>
        </w:rPr>
        <w:t xml:space="preserve">pochodzenia zwierzęcego uregulowanych </w:t>
      </w:r>
      <w:r>
        <w:rPr>
          <w:color w:val="1B1B1B"/>
        </w:rPr>
        <w:t>rozporządzeniem</w:t>
      </w:r>
      <w:r>
        <w:rPr>
          <w:color w:val="000000"/>
        </w:rPr>
        <w:t xml:space="preserve"> (WE) nr 1774/2002. W przypadkach, gdy produkty uboczne pochodzenia zwierzęcego stanowią potencjalne zagrożenie sanitarne, właściwym instrumentem prawnym stosowanym w celu zwalczania tych zagrożeń jest </w:t>
      </w:r>
      <w:r>
        <w:rPr>
          <w:color w:val="1B1B1B"/>
        </w:rPr>
        <w:t>r</w:t>
      </w:r>
      <w:r>
        <w:rPr>
          <w:color w:val="1B1B1B"/>
        </w:rPr>
        <w:t>ozporządzenie</w:t>
      </w:r>
      <w:r>
        <w:rPr>
          <w:color w:val="000000"/>
        </w:rPr>
        <w:t xml:space="preserve"> (WE) nr 1774/2002 i należy unikać sytuacji, w których przepisy dotyczące odpadów nakładają się na przepisy tego </w:t>
      </w:r>
      <w:r>
        <w:rPr>
          <w:color w:val="1B1B1B"/>
        </w:rPr>
        <w:t>rozporządzenia</w:t>
      </w:r>
      <w:r>
        <w:rPr>
          <w:color w:val="000000"/>
        </w:rPr>
        <w:t>.</w:t>
      </w:r>
    </w:p>
    <w:p w:rsidR="00B1146D" w:rsidRDefault="00717A52">
      <w:pPr>
        <w:spacing w:before="25" w:after="0"/>
      </w:pPr>
      <w:r>
        <w:rPr>
          <w:color w:val="000000"/>
        </w:rPr>
        <w:t>(14) Klasyfikacja odpadów jako niebezpieczne powinna być dokonywana między innymi na podstawie przepisów wspólnoto</w:t>
      </w:r>
      <w:r>
        <w:rPr>
          <w:color w:val="000000"/>
        </w:rPr>
        <w:t xml:space="preserve">wych w sprawie chemikaliów, w szczególności dotyczących klasyfikacji preparatów jako niebezpiecznych, wraz ze stosowanymi w tym celu dopuszczalnymi wartościami stężeń. Odpady niebezpieczne powinny podlegać regulacji na podstawie ścisłych specyfikacji, aby </w:t>
      </w:r>
      <w:r>
        <w:rPr>
          <w:color w:val="000000"/>
        </w:rPr>
        <w:t>zapobiec w możliwie największym stopniu możliwym negatywnym skutkom dla środowiska i zdrowia ludzkiego spowodowanym niewłaściwym gospodarowaniem nimi, lub ograniczyć te skutki. Ponadto, aby ułatwić zharmonizowaną klasyfikację odpadów i zapewnić zharmonizow</w:t>
      </w:r>
      <w:r>
        <w:rPr>
          <w:color w:val="000000"/>
        </w:rPr>
        <w:t xml:space="preserve">ane określenie typów odpadów niebezpiecznych w obrębie Wspólnoty, konieczne jest utrzymywanie systemu, w którym odpady i odpady niebezpieczne zostały sklasyfikowane zgodnie z wykazem odpadów ustalonym ostatnio </w:t>
      </w:r>
      <w:r>
        <w:rPr>
          <w:color w:val="1B1B1B"/>
        </w:rPr>
        <w:t>decyzją</w:t>
      </w:r>
      <w:r>
        <w:rPr>
          <w:color w:val="000000"/>
        </w:rPr>
        <w:t xml:space="preserve"> Komisji 2000/532/WE </w:t>
      </w:r>
      <w:r>
        <w:rPr>
          <w:color w:val="000000"/>
          <w:vertAlign w:val="superscript"/>
        </w:rPr>
        <w:t>10</w:t>
      </w:r>
      <w:r>
        <w:rPr>
          <w:color w:val="000000"/>
        </w:rPr>
        <w:t xml:space="preserve"> .</w:t>
      </w:r>
    </w:p>
    <w:p w:rsidR="00B1146D" w:rsidRDefault="00717A52">
      <w:pPr>
        <w:spacing w:before="25" w:after="0"/>
      </w:pPr>
      <w:r>
        <w:rPr>
          <w:color w:val="000000"/>
        </w:rPr>
        <w:t>(15) Konieczn</w:t>
      </w:r>
      <w:r>
        <w:rPr>
          <w:color w:val="000000"/>
        </w:rPr>
        <w:t>e jest rozróżnienie między pojęciami: "wstępnego magazynowania odpadów poprzedzającego ich zbieranie", "zbierania odpadów" i "magazynowania odpadów poprzedzającego ich przetwarzanie". Zakłady lub przedsiębiorstwa wytwarzające odpady w trakcie swojej działa</w:t>
      </w:r>
      <w:r>
        <w:rPr>
          <w:color w:val="000000"/>
        </w:rPr>
        <w:t xml:space="preserve">lności nie powinny być uznawane za uczestniczące w gospodarowaniu </w:t>
      </w:r>
      <w:r>
        <w:rPr>
          <w:color w:val="000000"/>
        </w:rPr>
        <w:lastRenderedPageBreak/>
        <w:t>odpadami i podlegające obowiązkowi uzyskania zezwolenia na magazynowanie własnych odpadów poprzedzające ich zbieranie.</w:t>
      </w:r>
    </w:p>
    <w:p w:rsidR="00B1146D" w:rsidRDefault="00717A52">
      <w:pPr>
        <w:spacing w:before="25" w:after="0"/>
      </w:pPr>
      <w:r>
        <w:rPr>
          <w:color w:val="000000"/>
        </w:rPr>
        <w:t>(16) Wstępne magazynowanie odpadów w ramach definicji zbierania jest ro</w:t>
      </w:r>
      <w:r>
        <w:rPr>
          <w:color w:val="000000"/>
        </w:rPr>
        <w:t>zumiane jako magazynowanie poprzedzające zbieranie w obiektach, w których odpady są rozładowywane, by umożliwić przygotowanie odpadów do dalszego transportu w celu odzysku lub unieszkodliwienia w innym miejscu. Należy wprowadzić rozróżnienie między wstępny</w:t>
      </w:r>
      <w:r>
        <w:rPr>
          <w:color w:val="000000"/>
        </w:rPr>
        <w:t>m magazynowaniem odpadów poprzedzającym ich zbieranie a magazynowaniem odpadów poprzedzającym ich przetwarzanie, odpowiednio do celu niniejszej dyrektywy, uwzględniając rodzaj odpadów, rozmiar oraz czas magazynowania i cel zbierania. Rozróżnienie to powinn</w:t>
      </w:r>
      <w:r>
        <w:rPr>
          <w:color w:val="000000"/>
        </w:rPr>
        <w:t xml:space="preserve">y wprowadzić państwa członkowskie. Magazynowanie odpadów przed ich odzyskiem przez okres wynoszący trzy lata lub dłuższy oraz magazynowanie odpadów przed ich unieszkodliwieniem przez okres wynoszący jeden rok lub dłuższy jest przedmiotem </w:t>
      </w:r>
      <w:r>
        <w:rPr>
          <w:color w:val="1B1B1B"/>
        </w:rPr>
        <w:t>dyrektywy</w:t>
      </w:r>
      <w:r>
        <w:rPr>
          <w:color w:val="000000"/>
        </w:rPr>
        <w:t xml:space="preserve"> Rady 199</w:t>
      </w:r>
      <w:r>
        <w:rPr>
          <w:color w:val="000000"/>
        </w:rPr>
        <w:t xml:space="preserve">9/31/WE z dnia 26 kwietnia 1999 r. w sprawie składowania odpadów </w:t>
      </w:r>
      <w:r>
        <w:rPr>
          <w:color w:val="000000"/>
          <w:vertAlign w:val="superscript"/>
        </w:rPr>
        <w:t>11</w:t>
      </w:r>
      <w:r>
        <w:rPr>
          <w:color w:val="000000"/>
        </w:rPr>
        <w:t xml:space="preserve"> .</w:t>
      </w:r>
    </w:p>
    <w:p w:rsidR="00B1146D" w:rsidRDefault="00717A52">
      <w:pPr>
        <w:spacing w:before="25" w:after="0"/>
      </w:pPr>
      <w:r>
        <w:rPr>
          <w:color w:val="000000"/>
        </w:rPr>
        <w:t>(17) Systemy zbierania odpadów, które nie są prowadzone na zasadach działalności gospodarczej, nie powinny podlegać obowiązkowi rejestracji, ponieważ stanowią mniejsze zagrożenie i przyc</w:t>
      </w:r>
      <w:r>
        <w:rPr>
          <w:color w:val="000000"/>
        </w:rPr>
        <w:t>zyniają się do selektywnego zbierania odpadów. Wśród przykładów takich systemów można wymienić zbieranie lekarstw przez apteki, odbiór zużytych artykułów konsumpcyjnych w sklepach i systemy zbierania w szkołach.</w:t>
      </w:r>
    </w:p>
    <w:p w:rsidR="00B1146D" w:rsidRDefault="00717A52">
      <w:pPr>
        <w:spacing w:before="25" w:after="0"/>
      </w:pPr>
      <w:r>
        <w:rPr>
          <w:color w:val="000000"/>
        </w:rPr>
        <w:t>(18) W niniejszej dyrektywie powinny być zaw</w:t>
      </w:r>
      <w:r>
        <w:rPr>
          <w:color w:val="000000"/>
        </w:rPr>
        <w:t>arte definicje zapobiegania, ponownego użycia, przygotowania do ponownego użycia, przetwarzania i recyklingu, aby uściślić zakres stosowania tych pojęć.</w:t>
      </w:r>
    </w:p>
    <w:p w:rsidR="00B1146D" w:rsidRDefault="00717A52">
      <w:pPr>
        <w:spacing w:before="25" w:after="0"/>
      </w:pPr>
      <w:r>
        <w:rPr>
          <w:color w:val="000000"/>
        </w:rPr>
        <w:t xml:space="preserve">(19) Definicje odzysku i unieszkodliwiania należy zmodyfikować, aby zapewnić wyraźne rozróżnienie tych </w:t>
      </w:r>
      <w:r>
        <w:rPr>
          <w:color w:val="000000"/>
        </w:rPr>
        <w:t>dwu pojęć, w oparciu o ich rzeczywiście zróżnicowane oddziaływanie na środowisko przez zastępowanie zasobów naturalnych w gospodarce, uznając jednocześnie potencjalne korzyści dla środowiska i zdrowia ludzkiego wynikające z wykorzystywania odpadów jako zas</w:t>
      </w:r>
      <w:r>
        <w:rPr>
          <w:color w:val="000000"/>
        </w:rPr>
        <w:t>obu. Ponadto można opracować wytyczne w celu wyjaśnienia przypadków, w których rozróżnienie to jest trudne do zastosowania w praktyce lub w których sklasyfikowanie danej czynności jako odzysku nie odpowiada faktycznemu oddziaływaniu tej czynności na środow</w:t>
      </w:r>
      <w:r>
        <w:rPr>
          <w:color w:val="000000"/>
        </w:rPr>
        <w:t>isko.</w:t>
      </w:r>
    </w:p>
    <w:p w:rsidR="00B1146D" w:rsidRDefault="00717A52">
      <w:pPr>
        <w:spacing w:before="25" w:after="0"/>
      </w:pPr>
      <w:r>
        <w:rPr>
          <w:color w:val="000000"/>
        </w:rPr>
        <w:t>(20) Niniejsza dyrektywa powinna również jednoznacznie określać, kiedy przekształcanie termiczne stałych odpadów komunalnych jest efektywne energetycznie i może być uznane za proces odzysku.</w:t>
      </w:r>
    </w:p>
    <w:p w:rsidR="00B1146D" w:rsidRDefault="00717A52">
      <w:pPr>
        <w:spacing w:before="25" w:after="0"/>
      </w:pPr>
      <w:r>
        <w:rPr>
          <w:color w:val="000000"/>
        </w:rPr>
        <w:t xml:space="preserve">(21) Procesy unieszkodliwiania polegające na odprowadzaniu </w:t>
      </w:r>
      <w:r>
        <w:rPr>
          <w:color w:val="000000"/>
        </w:rPr>
        <w:t xml:space="preserve">do mórz i oceanów, w tym również lokowaniu na dnie mórz, regulowane są także konwencjami międzynarodowymi, w szczególności </w:t>
      </w:r>
      <w:r>
        <w:rPr>
          <w:color w:val="1B1B1B"/>
        </w:rPr>
        <w:t>Konwencją</w:t>
      </w:r>
      <w:r>
        <w:rPr>
          <w:color w:val="000000"/>
        </w:rPr>
        <w:t xml:space="preserve"> o zapobieganiu zanieczyszczeniu mórz przez zatapianie odpadów i innych substancji sporządzoną w Londynie dnia 13 listopada </w:t>
      </w:r>
      <w:r>
        <w:rPr>
          <w:color w:val="000000"/>
        </w:rPr>
        <w:t>1972 r. i protokołem do niej z 1996 r. zmienionym w 2006 r.</w:t>
      </w:r>
    </w:p>
    <w:p w:rsidR="00B1146D" w:rsidRDefault="00717A52">
      <w:pPr>
        <w:spacing w:before="25" w:after="0"/>
      </w:pPr>
      <w:r>
        <w:rPr>
          <w:color w:val="000000"/>
        </w:rPr>
        <w:t>(22) Nie należy mylić różnych aspektów definicji odpadów a w razie konieczności należy zastosować właściwe procedury, z jednej strony, do produktów ubocznych niebędących odpadami, a z drugiej stro</w:t>
      </w:r>
      <w:r>
        <w:rPr>
          <w:color w:val="000000"/>
        </w:rPr>
        <w:t>ny - do odpadów, które przestają być odpadami. Aby doprecyzować pewne aspekty definicji odpadów, niniejsza dyrektywa powinna jednoznacznie wyjaśnić:</w:t>
      </w:r>
    </w:p>
    <w:p w:rsidR="00B1146D" w:rsidRDefault="00717A52">
      <w:pPr>
        <w:spacing w:before="25" w:after="0"/>
      </w:pPr>
      <w:r>
        <w:rPr>
          <w:color w:val="000000"/>
        </w:rPr>
        <w:lastRenderedPageBreak/>
        <w:t>- kiedy substancje lub przedmioty powstające w wyniku procesu produkcyjnego, którego pierwotnym celem nie j</w:t>
      </w:r>
      <w:r>
        <w:rPr>
          <w:color w:val="000000"/>
        </w:rPr>
        <w:t xml:space="preserve">est wyprodukowanie tych substancji lub przedmiotów, są produktami ubocznymi, a nie odpadami. Decyzja o tym, że dana substancja nie jest odpadem, może być podjęta wyłącznie na podstawie skoordynowanego podejścia, które ma być regularnie aktualizowane i pod </w:t>
      </w:r>
      <w:r>
        <w:rPr>
          <w:color w:val="000000"/>
        </w:rPr>
        <w:t xml:space="preserve">warunkiem, że decyzja ta jest spójna z celami ochrony środowiska i zdrowia ludzkiego. Jeżeli wykorzystywanie produktu ubocznego jest dopuszczalne na mocy pozwolenia na korzystanie ze środowiska lub ogólnych przepisów dotyczących środowiska, może to zostać </w:t>
      </w:r>
      <w:r>
        <w:rPr>
          <w:color w:val="000000"/>
        </w:rPr>
        <w:t>wykorzystane przez państwa członkowskie jako kryterium podejmowania decyzji, że nie należy oczekiwać ogólnego niekorzystnego oddziaływania na środowisko lub zdrowie ludzkiego; substancja lub przedmiot powinny być uznane za produkt uboczny tylko, jeżeli spe</w:t>
      </w:r>
      <w:r>
        <w:rPr>
          <w:color w:val="000000"/>
        </w:rPr>
        <w:t>łnione zostały określone warunki. W związku z tym, że produkty uboczne należą do kategorii produktów, ich eksport powinien podlegać wymogom odpowiednich przepisów wspólnotowych; oraz</w:t>
      </w:r>
    </w:p>
    <w:p w:rsidR="00B1146D" w:rsidRDefault="00717A52">
      <w:pPr>
        <w:spacing w:before="25" w:after="0"/>
      </w:pPr>
      <w:r>
        <w:rPr>
          <w:color w:val="000000"/>
        </w:rPr>
        <w:t>- kiedy niektóre kategorie odpadów przestają być odpadami, ustalając kryt</w:t>
      </w:r>
      <w:r>
        <w:rPr>
          <w:color w:val="000000"/>
        </w:rPr>
        <w:t>eria zniesienia statusu odpadu, które zapewniałyby wysoki poziom ochrony środowiska oraz korzyści środowiskowe i ekonomiczne; ewentualne kategorie odpadów, dla których należy opracować specyfikacje i kryteria określające "zniesienie statusu odpadu", mogą o</w:t>
      </w:r>
      <w:r>
        <w:rPr>
          <w:color w:val="000000"/>
        </w:rPr>
        <w:t xml:space="preserve">bejmować między innymi odpady budowlane i rozbiórkowe, niektóre popioły i żużle, złom metali, kruszywa, opony, tekstylia, kompost, makulaturę i szkło. W celu ustalenia końca statusu odpadu, wystarczy przeprowadzenie nawet tak prostej czynności odzysku jak </w:t>
      </w:r>
      <w:r>
        <w:rPr>
          <w:color w:val="000000"/>
        </w:rPr>
        <w:t>skontrolowanie odpadów w zakresie potwierdzenia, że spełniają kryteria zniesienia statusu odpadu.</w:t>
      </w:r>
    </w:p>
    <w:p w:rsidR="00B1146D" w:rsidRDefault="00717A52">
      <w:pPr>
        <w:spacing w:before="25" w:after="0"/>
      </w:pPr>
      <w:r>
        <w:rPr>
          <w:color w:val="000000"/>
        </w:rPr>
        <w:t xml:space="preserve">(23) W celu potwierdzenia lub obliczenia, czy osiągnięte zostały poziomy recyklingu i odzysku określone w </w:t>
      </w:r>
      <w:r>
        <w:rPr>
          <w:color w:val="1B1B1B"/>
        </w:rPr>
        <w:t>dyrektywie</w:t>
      </w:r>
      <w:r>
        <w:rPr>
          <w:color w:val="000000"/>
        </w:rPr>
        <w:t xml:space="preserve"> 94/62/WE Parlamentu Europejskiego i Rady z dnia 20 grudnia 1994 r. w sprawie opakowań i odpadów opakowaniowych </w:t>
      </w:r>
      <w:r>
        <w:rPr>
          <w:color w:val="000000"/>
          <w:vertAlign w:val="superscript"/>
        </w:rPr>
        <w:t>12</w:t>
      </w:r>
      <w:r>
        <w:rPr>
          <w:color w:val="000000"/>
        </w:rPr>
        <w:t xml:space="preserve"> , </w:t>
      </w:r>
      <w:r>
        <w:rPr>
          <w:color w:val="1B1B1B"/>
        </w:rPr>
        <w:t>dyrektywie</w:t>
      </w:r>
      <w:r>
        <w:rPr>
          <w:color w:val="000000"/>
        </w:rPr>
        <w:t xml:space="preserve"> 2000/53/WE Parlamentu Europejskiego i Rady z dnia 18 września 2000 r. w sprawie pojazdów wycofanych z eksploatacji </w:t>
      </w:r>
      <w:r>
        <w:rPr>
          <w:color w:val="000000"/>
          <w:vertAlign w:val="superscript"/>
        </w:rPr>
        <w:t>13</w:t>
      </w:r>
      <w:r>
        <w:rPr>
          <w:color w:val="000000"/>
        </w:rPr>
        <w:t xml:space="preserve"> , </w:t>
      </w:r>
      <w:r>
        <w:rPr>
          <w:color w:val="1B1B1B"/>
        </w:rPr>
        <w:t>dyrektyw</w:t>
      </w:r>
      <w:r>
        <w:rPr>
          <w:color w:val="1B1B1B"/>
        </w:rPr>
        <w:t>ie</w:t>
      </w:r>
      <w:r>
        <w:rPr>
          <w:color w:val="000000"/>
        </w:rPr>
        <w:t xml:space="preserve"> 2002/96/WE Parlamentu Europejskiego i Rady z dnia 27 stycznia 2003 r. w sprawie zużytego sprzętu elektrycznego i elektronicznego (WEEE) </w:t>
      </w:r>
      <w:r>
        <w:rPr>
          <w:color w:val="000000"/>
          <w:vertAlign w:val="superscript"/>
        </w:rPr>
        <w:t>14</w:t>
      </w:r>
      <w:r>
        <w:rPr>
          <w:color w:val="000000"/>
        </w:rPr>
        <w:t xml:space="preserve">  i </w:t>
      </w:r>
      <w:r>
        <w:rPr>
          <w:color w:val="1B1B1B"/>
        </w:rPr>
        <w:t>dyrektywie</w:t>
      </w:r>
      <w:r>
        <w:rPr>
          <w:color w:val="000000"/>
        </w:rPr>
        <w:t xml:space="preserve"> 2006/66/WE Parlamentu Europejskiego i Rady z dnia 6 września 2006 r. w sprawie baterii i akumulatoró</w:t>
      </w:r>
      <w:r>
        <w:rPr>
          <w:color w:val="000000"/>
        </w:rPr>
        <w:t xml:space="preserve">w oraz zużytych baterii i akumulatorów </w:t>
      </w:r>
      <w:r>
        <w:rPr>
          <w:color w:val="000000"/>
          <w:vertAlign w:val="superscript"/>
        </w:rPr>
        <w:t>15</w:t>
      </w:r>
      <w:r>
        <w:rPr>
          <w:color w:val="000000"/>
        </w:rPr>
        <w:t xml:space="preserve">  oraz w innych odpowiednich przepisach wspólnotowych, ilości odpadów, które przestały być odpadami, powinny być ujmowane jako odpady poddane recyklingowi i odzyskowi, jeżeli spełnione zostały wymogi w zakresie recy</w:t>
      </w:r>
      <w:r>
        <w:rPr>
          <w:color w:val="000000"/>
        </w:rPr>
        <w:t>klingu lub odzysku ustanowione w tych przepisach.</w:t>
      </w:r>
    </w:p>
    <w:p w:rsidR="00B1146D" w:rsidRDefault="00717A52">
      <w:pPr>
        <w:spacing w:before="25" w:after="0"/>
      </w:pPr>
      <w:r>
        <w:rPr>
          <w:color w:val="000000"/>
        </w:rPr>
        <w:t>(24) Dla zachowania pewności i spójności Komisja może przyjąć na podstawie definicji odpadów wytyczne, które w pewnych przypadkach wyszczególniałyby, kiedy substancje lub przedmioty stają się odpadami. Wyty</w:t>
      </w:r>
      <w:r>
        <w:rPr>
          <w:color w:val="000000"/>
        </w:rPr>
        <w:t>czne takie mogą zostać opracowane między innymi dla sprzętu elektrycznego i elektronicznego oraz pojazdów.</w:t>
      </w:r>
    </w:p>
    <w:p w:rsidR="00B1146D" w:rsidRDefault="00717A52">
      <w:pPr>
        <w:spacing w:before="25" w:after="0"/>
      </w:pPr>
      <w:r>
        <w:rPr>
          <w:color w:val="000000"/>
        </w:rPr>
        <w:t>(25) Zasadne jest, aby koszty były rozdzielane w sposób odzwierciedlający faktyczne koszty środowiskowe w zakresie wytwarzania odpadów oraz gospodaro</w:t>
      </w:r>
      <w:r>
        <w:rPr>
          <w:color w:val="000000"/>
        </w:rPr>
        <w:t>wania nimi.</w:t>
      </w:r>
    </w:p>
    <w:p w:rsidR="00B1146D" w:rsidRDefault="00717A52">
      <w:pPr>
        <w:spacing w:before="25" w:after="0"/>
      </w:pPr>
      <w:r>
        <w:rPr>
          <w:color w:val="000000"/>
        </w:rPr>
        <w:t>(26) Zasada "zanieczyszczający płaci" jest wiodącą zasadą na szczeblu europejskim i międzynarodowym. Wytwórca odpadów i posiadacz odpadów powinni gospodarować odpadami w sposób, który gwarantuje wysoki poziom ochrony środowiska i zdrowia ludzki</w:t>
      </w:r>
      <w:r>
        <w:rPr>
          <w:color w:val="000000"/>
        </w:rPr>
        <w:t>ego.</w:t>
      </w:r>
    </w:p>
    <w:p w:rsidR="00B1146D" w:rsidRDefault="00717A52">
      <w:pPr>
        <w:spacing w:before="25" w:after="0"/>
      </w:pPr>
      <w:r>
        <w:rPr>
          <w:color w:val="000000"/>
        </w:rPr>
        <w:lastRenderedPageBreak/>
        <w:t>(27) Wprowadzenie niniejszą dyrektywą rozszerzonej odpowiedzialności producenta jest jednym ze sposobów wspierania projektowania i produkcji wyrobów, które w pełni uwzględniają i ułatwiają efektywne wykorzystywanie zasobów podczas całego ich cyklu życ</w:t>
      </w:r>
      <w:r>
        <w:rPr>
          <w:color w:val="000000"/>
        </w:rPr>
        <w:t>ia, w tym ich naprawę, ponowne użycie, demontaż i recykling i nie wpływają przy tym niekorzystnie na swobodny obieg wyrobów na rynku wewnętrznym.</w:t>
      </w:r>
    </w:p>
    <w:p w:rsidR="00B1146D" w:rsidRDefault="00717A52">
      <w:pPr>
        <w:spacing w:before="25" w:after="0"/>
      </w:pPr>
      <w:r>
        <w:rPr>
          <w:color w:val="000000"/>
        </w:rPr>
        <w:t>(28) Niniejsza dyrektywa powinna pomóc UE zbliżyć się do "społeczeństwa recyklingu", dążącego do eliminacji wy</w:t>
      </w:r>
      <w:r>
        <w:rPr>
          <w:color w:val="000000"/>
        </w:rPr>
        <w:t>twarzania odpadów i do wykorzystywania odpadów jako zasobu. W szczególności szósty wspólnotowy program działań w zakresie środowiska wymaga stosowania środków, których celem jest zapewnienie segregacji u źródła, zbieranie oraz recykling priorytetowych stru</w:t>
      </w:r>
      <w:r>
        <w:rPr>
          <w:color w:val="000000"/>
        </w:rPr>
        <w:t>mieni odpadów. Zgodnie z tym celem, a jednocześnie jako środek ułatwiający lub usprawniający potencjał odzysku, odpady powinny być zbierane selektywnie, jeżeli jest wykonalne technicznie, ekonomicznie i z punktu widzenia środowiska, zanim zostaną poddane c</w:t>
      </w:r>
      <w:r>
        <w:rPr>
          <w:color w:val="000000"/>
        </w:rPr>
        <w:t>zynnościom odzysku prowadzącymi do najlepszego dla środowiska wyniku całkowitego. Państwa członkowskie powinny zachęcać do oddzielania związków niebezpiecznych od strumieni odpadów, jeżeli jest to konieczne do stworzenia racjonalnej ekologicznie gospodarki</w:t>
      </w:r>
      <w:r>
        <w:rPr>
          <w:color w:val="000000"/>
        </w:rPr>
        <w:t xml:space="preserve"> odpadami.</w:t>
      </w:r>
    </w:p>
    <w:p w:rsidR="00B1146D" w:rsidRDefault="00717A52">
      <w:pPr>
        <w:spacing w:before="25" w:after="0"/>
      </w:pPr>
      <w:r>
        <w:rPr>
          <w:color w:val="000000"/>
        </w:rPr>
        <w:t xml:space="preserve">(29) Zgodnie z hierarchią postępowania z odpadami i z celem utworzenia "społeczeństwa recyklingu" państwa członkowskie powinny popierać stosowanie odpadów posegregowanych w wyniku recyklingu, takich jak papier z odzysku, i o ile to możliwe, nie </w:t>
      </w:r>
      <w:r>
        <w:rPr>
          <w:color w:val="000000"/>
        </w:rPr>
        <w:t>powinny wspierać składowania lub spalania takich odpadów.</w:t>
      </w:r>
    </w:p>
    <w:p w:rsidR="00B1146D" w:rsidRDefault="00717A52">
      <w:pPr>
        <w:spacing w:before="25" w:after="0"/>
      </w:pPr>
      <w:r>
        <w:rPr>
          <w:color w:val="000000"/>
        </w:rPr>
        <w:t xml:space="preserve">(30) Aby wprowadzić w życie zasadę ostrożności i zasadę zapobiegania zawarte w </w:t>
      </w:r>
      <w:r>
        <w:rPr>
          <w:color w:val="1B1B1B"/>
        </w:rPr>
        <w:t>art. 174 ust. 2</w:t>
      </w:r>
      <w:r>
        <w:rPr>
          <w:color w:val="000000"/>
        </w:rPr>
        <w:t xml:space="preserve"> Traktatu, niezbędne jest ustalenie ogólnych celów dla środowiska dotyczących gospodarowania odpadami w obrębie Wspólnoty. Na mocy tych zasad zadaniem Wspólnoty i państw członkowskich jest ustanowienie ram prawnych dla zapobiegania, redukowania oraz, w mia</w:t>
      </w:r>
      <w:r>
        <w:rPr>
          <w:color w:val="000000"/>
        </w:rPr>
        <w:t>rę możliwości, eliminowania u źródła zanieczyszczeń lub uciążliwości poprzez przyjęcie środków eliminujących rozpoznane zagrożenia.</w:t>
      </w:r>
    </w:p>
    <w:p w:rsidR="00B1146D" w:rsidRDefault="00717A52">
      <w:pPr>
        <w:spacing w:before="25" w:after="0"/>
      </w:pPr>
      <w:r>
        <w:rPr>
          <w:color w:val="000000"/>
        </w:rPr>
        <w:t>(31) Hierarchia postępowania z odpadami zasadniczo ustanawia kolejność priorytetów tego, co stanowi najlepsze z punktu widze</w:t>
      </w:r>
      <w:r>
        <w:rPr>
          <w:color w:val="000000"/>
        </w:rPr>
        <w:t>nia środowiska całościowe rozwiązanie w zakresie prawodawstwa i polityki dotyczących odpadów, zaś odstępstwo od takiej hierarchii może być konieczne w przypadku określonych strumieni odpadów, jeżeli jest to uzasadnione między innymi wykonalnością techniczn</w:t>
      </w:r>
      <w:r>
        <w:rPr>
          <w:color w:val="000000"/>
        </w:rPr>
        <w:t>ą, opłacalnością ekonomiczną i ochroną środowiska.</w:t>
      </w:r>
    </w:p>
    <w:p w:rsidR="00B1146D" w:rsidRDefault="00717A52">
      <w:pPr>
        <w:spacing w:before="25" w:after="0"/>
      </w:pPr>
      <w:r>
        <w:rPr>
          <w:color w:val="000000"/>
        </w:rPr>
        <w:t>(32) Aby umożliwić Wspólnocie, jako całości, osiągnięcie samowystarczalności w zakresie unieszkodliwiania odpadów i odzysku zmieszanych odpadów komunalnych zebranych z gospodarstw domowych i umożliwić pańs</w:t>
      </w:r>
      <w:r>
        <w:rPr>
          <w:color w:val="000000"/>
        </w:rPr>
        <w:t>twom członkowskim stopniowe osiąganie tego celu indywidualnie, konieczne jest stworzenie sieci współpracy w zakresie instalacji unieszkodliwiania odpadów i instalacji do odzysku zmieszanych odpadów komunalnych zebranych z gospodarstw domowych, przy uwzględ</w:t>
      </w:r>
      <w:r>
        <w:rPr>
          <w:color w:val="000000"/>
        </w:rPr>
        <w:t>nieniu warunków geograficznych oraz potrzeby specjalistycznych instalacji dla niektórych rodzajów odpadów.</w:t>
      </w:r>
    </w:p>
    <w:p w:rsidR="00B1146D" w:rsidRDefault="00717A52">
      <w:pPr>
        <w:spacing w:before="25" w:after="0"/>
      </w:pPr>
      <w:r>
        <w:rPr>
          <w:color w:val="000000"/>
        </w:rPr>
        <w:t xml:space="preserve">(33) Do celów stosowania </w:t>
      </w:r>
      <w:r>
        <w:rPr>
          <w:color w:val="1B1B1B"/>
        </w:rPr>
        <w:t>rozporządzenia</w:t>
      </w:r>
      <w:r>
        <w:rPr>
          <w:color w:val="000000"/>
        </w:rPr>
        <w:t xml:space="preserve"> (WE) nr 1013/2006 Parlamentu Europejskiego i Rady z dnia 14 czerwca 2006 r. w sprawie przemieszczania odpadów</w:t>
      </w:r>
      <w:r>
        <w:rPr>
          <w:color w:val="000000"/>
        </w:rPr>
        <w:t xml:space="preserve"> </w:t>
      </w:r>
      <w:r>
        <w:rPr>
          <w:color w:val="000000"/>
          <w:vertAlign w:val="superscript"/>
        </w:rPr>
        <w:t>16</w:t>
      </w:r>
      <w:r>
        <w:rPr>
          <w:color w:val="000000"/>
        </w:rPr>
        <w:t xml:space="preserve">  zmieszane odpady komunalne, o których mowa w </w:t>
      </w:r>
      <w:r>
        <w:rPr>
          <w:color w:val="1B1B1B"/>
        </w:rPr>
        <w:t>art. 3 ust. 5</w:t>
      </w:r>
      <w:r>
        <w:rPr>
          <w:color w:val="000000"/>
        </w:rPr>
        <w:t xml:space="preserve"> tego rozporządzenia, pozostają zmieszanymi odpadami komunalnymi, nawet jeśli zostały poddane czynności przetwarzania odpadów, która nie zmieniła w sposób znaczących ich właściwości.</w:t>
      </w:r>
    </w:p>
    <w:p w:rsidR="00B1146D" w:rsidRDefault="00717A52">
      <w:pPr>
        <w:spacing w:before="25" w:after="0"/>
      </w:pPr>
      <w:r>
        <w:rPr>
          <w:color w:val="000000"/>
        </w:rPr>
        <w:t>(34) Ważne</w:t>
      </w:r>
      <w:r>
        <w:rPr>
          <w:color w:val="000000"/>
        </w:rPr>
        <w:t xml:space="preserve"> jest, aby odpady niebezpieczne były oznakowywane zgodnie z normami międzynarodowymi i wspólnotowymi. Jednakże, w przypadkach, gdy odpady takie są osobno odbierane z gospodarstw domowych, nie powinno to skutkować obowiązkiem wypełniania przez właścicieli g</w:t>
      </w:r>
      <w:r>
        <w:rPr>
          <w:color w:val="000000"/>
        </w:rPr>
        <w:t>ospodarstw domowych wymaganej dokumentacji.</w:t>
      </w:r>
    </w:p>
    <w:p w:rsidR="00B1146D" w:rsidRDefault="00717A52">
      <w:pPr>
        <w:spacing w:before="25" w:after="0"/>
      </w:pPr>
      <w:r>
        <w:rPr>
          <w:color w:val="000000"/>
        </w:rPr>
        <w:t>(35) Z punktu widzenia hierarchii postępowania z odpadami i w celu zmniejszenia emisji gazów cieplarnianych pochodzących ze składowania odpadów na składowiskach, ważne jest stwarzanie korzystnych warunków dla zbi</w:t>
      </w:r>
      <w:r>
        <w:rPr>
          <w:color w:val="000000"/>
        </w:rPr>
        <w:t>erania selektywnego i właściwego przetwarzania bioodpadów na potrzeby produkcji bezpiecznego dla środowiska kompostu i innych materiałów opartych na bioodpadach. Po przeprowadzeniu oceny gospodarowania bioodpadami Komisja przedstawi wnioski dotyczące środk</w:t>
      </w:r>
      <w:r>
        <w:rPr>
          <w:color w:val="000000"/>
        </w:rPr>
        <w:t>ów legislacyjnych, jeżeli będzie to właściwe.</w:t>
      </w:r>
    </w:p>
    <w:p w:rsidR="00B1146D" w:rsidRDefault="00717A52">
      <w:pPr>
        <w:spacing w:before="25" w:after="0"/>
      </w:pPr>
      <w:r>
        <w:rPr>
          <w:color w:val="000000"/>
        </w:rPr>
        <w:t xml:space="preserve">(36) Możliwe jest przyjęcie minimalnych standardów technicznych, dotyczących czynności przetwarzania odpadów nieobjętych </w:t>
      </w:r>
      <w:r>
        <w:rPr>
          <w:color w:val="1B1B1B"/>
        </w:rPr>
        <w:t>dyrektywą</w:t>
      </w:r>
      <w:r>
        <w:rPr>
          <w:color w:val="000000"/>
        </w:rPr>
        <w:t xml:space="preserve"> 96/61/WE, jeżeli się okaże, że standardy te pozwolą na uzyskanie korzyści w zak</w:t>
      </w:r>
      <w:r>
        <w:rPr>
          <w:color w:val="000000"/>
        </w:rPr>
        <w:t>resie ochrony zdrowia ludzkiego i środowiska oraz, gdy skoordynowane podejście do wprowadzania w życie niniejszej dyrektywy zapewni ochronę zdrowia ludzkiego i środowiska.</w:t>
      </w:r>
    </w:p>
    <w:p w:rsidR="00B1146D" w:rsidRDefault="00717A52">
      <w:pPr>
        <w:spacing w:before="25" w:after="0"/>
      </w:pPr>
      <w:r>
        <w:rPr>
          <w:color w:val="000000"/>
        </w:rPr>
        <w:t>(37) Konieczne jest dalsze określenie zakresu i treści obowiązku w zakresie planowan</w:t>
      </w:r>
      <w:r>
        <w:rPr>
          <w:color w:val="000000"/>
        </w:rPr>
        <w:t>ia gospodarki odpadami, oraz włączenie do procesu opracowywania lub nowelizowania planów gospodarki odpadami potrzeby wzięcia pod uwagę oddziaływania na środowisko wytwarzanych odpadów i gospodarowania nimi. W odpowiednich przypadkach należy również uwzglę</w:t>
      </w:r>
      <w:r>
        <w:rPr>
          <w:color w:val="000000"/>
        </w:rPr>
        <w:t xml:space="preserve">dnić wymogi dotyczące planowania gospodarowania odpadami określone w </w:t>
      </w:r>
      <w:r>
        <w:rPr>
          <w:color w:val="1B1B1B"/>
        </w:rPr>
        <w:t>art. 14</w:t>
      </w:r>
      <w:r>
        <w:rPr>
          <w:color w:val="000000"/>
        </w:rPr>
        <w:t xml:space="preserve"> dyrektywy 94/62/WE oraz strategię redukcji odpadów ulegających biodegradacji kierowanych na składowiska odpadów, o której mowa w </w:t>
      </w:r>
      <w:r>
        <w:rPr>
          <w:color w:val="1B1B1B"/>
        </w:rPr>
        <w:t>art. 5</w:t>
      </w:r>
      <w:r>
        <w:rPr>
          <w:color w:val="000000"/>
        </w:rPr>
        <w:t xml:space="preserve"> dyrektywy 1999/31/WE.</w:t>
      </w:r>
    </w:p>
    <w:p w:rsidR="00B1146D" w:rsidRDefault="00717A52">
      <w:pPr>
        <w:spacing w:before="25" w:after="0"/>
      </w:pPr>
      <w:r>
        <w:rPr>
          <w:color w:val="000000"/>
        </w:rPr>
        <w:t>(38) Państwa członkow</w:t>
      </w:r>
      <w:r>
        <w:rPr>
          <w:color w:val="000000"/>
        </w:rPr>
        <w:t>skie mogą stosować zezwolenia na korzystanie ze środowiska lub ogólne zasady dotyczące ochrony środowiska w stosunku do niektórych wytwórców odpadów, o ile nie stwarza to zagrożenia dla właściwego funkcjonowania rynku wewnętrznego.</w:t>
      </w:r>
    </w:p>
    <w:p w:rsidR="00B1146D" w:rsidRDefault="00717A52">
      <w:pPr>
        <w:spacing w:before="25" w:after="0"/>
      </w:pPr>
      <w:r>
        <w:rPr>
          <w:color w:val="000000"/>
        </w:rPr>
        <w:t xml:space="preserve">(39) Zgodnie z </w:t>
      </w:r>
      <w:r>
        <w:rPr>
          <w:color w:val="1B1B1B"/>
        </w:rPr>
        <w:t>rozporząd</w:t>
      </w:r>
      <w:r>
        <w:rPr>
          <w:color w:val="1B1B1B"/>
        </w:rPr>
        <w:t>zeniem</w:t>
      </w:r>
      <w:r>
        <w:rPr>
          <w:color w:val="000000"/>
        </w:rPr>
        <w:t xml:space="preserve"> (WE) nr 1013/2006 państwa członkowskie mogą zastosować środki niezbędne w celu zapobiegania przemieszczaniu odpadów, które nie jest zgodne z ich planami gospodarki odpadami. W drodze odstępstwa od tego </w:t>
      </w:r>
      <w:r>
        <w:rPr>
          <w:color w:val="1B1B1B"/>
        </w:rPr>
        <w:t>rozporządzenia</w:t>
      </w:r>
      <w:r>
        <w:rPr>
          <w:color w:val="000000"/>
        </w:rPr>
        <w:t xml:space="preserve"> państwa członkowskie powinny być</w:t>
      </w:r>
      <w:r>
        <w:rPr>
          <w:color w:val="000000"/>
        </w:rPr>
        <w:t xml:space="preserve"> uprawnione do ograniczenia wchodzących dostaw przeznaczonych do spalarni, zaklasyfikowanych jako instalacje do odzysku, jeżeli ustalono, że odpady krajowe musiałyby być unieszkodliwiane lub musiałyby być przetwarzane w sposób niezgodny z planami gospodark</w:t>
      </w:r>
      <w:r>
        <w:rPr>
          <w:color w:val="000000"/>
        </w:rPr>
        <w:t>i odpadami tych państw. Uznaje się, że niektóre państwa członkowskie mogą nie być w stanie zorganizować na swoim terytorium sieci obejmującej pełny zakres obiektów do ostatecznego odzysku.</w:t>
      </w:r>
    </w:p>
    <w:p w:rsidR="00B1146D" w:rsidRDefault="00717A52">
      <w:pPr>
        <w:spacing w:before="25" w:after="0"/>
      </w:pPr>
      <w:r>
        <w:rPr>
          <w:color w:val="000000"/>
        </w:rPr>
        <w:t>(40) Aby poprawić sposób, w jaki realizowane jest zapobieganie pows</w:t>
      </w:r>
      <w:r>
        <w:rPr>
          <w:color w:val="000000"/>
        </w:rPr>
        <w:t>tawaniu odpadów w państwach członkowskich, oraz ułatwić obieg najlepszych praktyk w tym obszarze, konieczne jest zaostrzenie przepisów dotyczących zapobiegania powstawaniu odpadów oraz wprowadzenie wymogu zobowiązującego państwa członkowskie do opracowywan</w:t>
      </w:r>
      <w:r>
        <w:rPr>
          <w:color w:val="000000"/>
        </w:rPr>
        <w:t>ia programów zapobiegania powstawaniu odpadów, koncentrujących się na kluczowych elementach oddziaływania na środowisko oraz uwzględniających cały cykl życia produktów i materiałów. Takie środki powinny zmierzać do przerwania związku pomiędzy wzrostem gosp</w:t>
      </w:r>
      <w:r>
        <w:rPr>
          <w:color w:val="000000"/>
        </w:rPr>
        <w:t xml:space="preserve">odarczym a skutkami dla środowiska związanymi z wytwarzaniem odpadów. Zarówno zainteresowane strony, jak i ogół społeczeństwa powinny mieć możliwość udziału w sporządzaniu tych programów oraz dostęp do sporządzonych programów, zgodnie z </w:t>
      </w:r>
      <w:r>
        <w:rPr>
          <w:color w:val="1B1B1B"/>
        </w:rPr>
        <w:t>dyrektywą</w:t>
      </w:r>
      <w:r>
        <w:rPr>
          <w:color w:val="000000"/>
        </w:rPr>
        <w:t xml:space="preserve"> 2003/35/W</w:t>
      </w:r>
      <w:r>
        <w:rPr>
          <w:color w:val="000000"/>
        </w:rPr>
        <w:t xml:space="preserve">E Parlamentu Europejskiego i Rady z dnia 26 maja 2003 r. przewidującą udział społeczeństwa w odniesieniu do sporządzania niektórych planów i programów w zakresie środowiska </w:t>
      </w:r>
      <w:r>
        <w:rPr>
          <w:color w:val="000000"/>
          <w:vertAlign w:val="superscript"/>
        </w:rPr>
        <w:t>17</w:t>
      </w:r>
      <w:r>
        <w:rPr>
          <w:color w:val="000000"/>
        </w:rPr>
        <w:t xml:space="preserve"> . Cele w zakresie zapobiegania powstawaniu odpadów i ich segregowania należy roz</w:t>
      </w:r>
      <w:r>
        <w:rPr>
          <w:color w:val="000000"/>
        </w:rPr>
        <w:t>wijać uwzględniając odpowiednio zmniejszenie niekorzystnych skutków odpadów oraz ilości wytworzonych odpadów.</w:t>
      </w:r>
    </w:p>
    <w:p w:rsidR="00B1146D" w:rsidRDefault="00717A52">
      <w:pPr>
        <w:spacing w:before="25" w:after="0"/>
      </w:pPr>
      <w:r>
        <w:rPr>
          <w:color w:val="000000"/>
        </w:rPr>
        <w:t>(41) Aby przybliżyć się do celu, jakim jest europejskie społeczeństwo recyklingu o wysokiej wydajności zasobów, należy określić cele w zakresie pr</w:t>
      </w:r>
      <w:r>
        <w:rPr>
          <w:color w:val="000000"/>
        </w:rPr>
        <w:t>zygotowania do ponownego wykorzystania i recyklingu odpadów. Państwa członkowskie zachowują różne podejścia do zbiórki odpadów z gospodarstw domowych oraz odpadów o podobnym charakterze i składzie. W związku z tym właściwe jest uwzględnienie w ramach takic</w:t>
      </w:r>
      <w:r>
        <w:rPr>
          <w:color w:val="000000"/>
        </w:rPr>
        <w:t xml:space="preserve">h celów różnic w systemach zbiórki w poszczególnych państwach członkowskich. Strumienie odpadów innego pochodzenia podobne do odpadów z gospodarstw domowych obejmują odpady, o których mowa w pozycji 20 wykazu ustanowionego </w:t>
      </w:r>
      <w:r>
        <w:rPr>
          <w:color w:val="1B1B1B"/>
        </w:rPr>
        <w:t>decyzją</w:t>
      </w:r>
      <w:r>
        <w:rPr>
          <w:color w:val="000000"/>
        </w:rPr>
        <w:t xml:space="preserve"> Komisji 2000/532/WE.</w:t>
      </w:r>
    </w:p>
    <w:p w:rsidR="00B1146D" w:rsidRDefault="00717A52">
      <w:pPr>
        <w:spacing w:before="25" w:after="0"/>
      </w:pPr>
      <w:r>
        <w:rPr>
          <w:color w:val="000000"/>
        </w:rPr>
        <w:t>(42)</w:t>
      </w:r>
      <w:r>
        <w:rPr>
          <w:color w:val="000000"/>
        </w:rPr>
        <w:t xml:space="preserve"> Instrumenty ekonomiczne mogą odegrać decydującą rolę w osiąganiu celów zapobiegania powstawaniu odpadów i gospodarowania nimi. Odpady często posiadają wartość jak zasoby i dalsze stosowanie instrumentów ekonomicznych może przyczynić się do maksymalnego zw</w:t>
      </w:r>
      <w:r>
        <w:rPr>
          <w:color w:val="000000"/>
        </w:rPr>
        <w:t>iększenia korzyści dla środowiska. Należy zatem stwarzać zachęty dla stosowania takich instrumentów na odpowiednim poziomie, podkreślając jednocześnie, że poszczególne państwa członkowskie mogą podejmować decyzje co do ich stosowania.</w:t>
      </w:r>
    </w:p>
    <w:p w:rsidR="00B1146D" w:rsidRDefault="00717A52">
      <w:pPr>
        <w:spacing w:before="25" w:after="0"/>
      </w:pPr>
      <w:r>
        <w:rPr>
          <w:color w:val="000000"/>
        </w:rPr>
        <w:t>(43) Niektóre przepis</w:t>
      </w:r>
      <w:r>
        <w:rPr>
          <w:color w:val="000000"/>
        </w:rPr>
        <w:t xml:space="preserve">y dotyczące postępowania z odpadami określone w </w:t>
      </w:r>
      <w:r>
        <w:rPr>
          <w:color w:val="1B1B1B"/>
        </w:rPr>
        <w:t>dyrektywie</w:t>
      </w:r>
      <w:r>
        <w:rPr>
          <w:color w:val="000000"/>
        </w:rPr>
        <w:t xml:space="preserve"> Rady 91/689/EWG z dnia 12 grudnia 1991 r. w sprawie odpadów niebezpiecznych </w:t>
      </w:r>
      <w:r>
        <w:rPr>
          <w:color w:val="000000"/>
          <w:vertAlign w:val="superscript"/>
        </w:rPr>
        <w:t>18</w:t>
      </w:r>
      <w:r>
        <w:rPr>
          <w:color w:val="000000"/>
        </w:rPr>
        <w:t xml:space="preserve">  powinny zostać zmienione w celu usunięcia nieaktualnych przepisów oraz poprawy przejrzystości tekstu. W interesie upraszczania prawodawstwa wspólnotowego przepisy te należy włączyć do niniejszej dyrektywy. W celu doprecyzowania działania określanego jako</w:t>
      </w:r>
      <w:r>
        <w:rPr>
          <w:color w:val="000000"/>
        </w:rPr>
        <w:t xml:space="preserve"> zakaz mieszania odpadów, o którym mowa w </w:t>
      </w:r>
      <w:r>
        <w:rPr>
          <w:color w:val="1B1B1B"/>
        </w:rPr>
        <w:t>dyrektywie</w:t>
      </w:r>
      <w:r>
        <w:rPr>
          <w:color w:val="000000"/>
        </w:rPr>
        <w:t xml:space="preserve"> 91/689/EWG oraz w celu ochrony środowiska i zdrowia ludzkiego, zwolnienia z zakazu mieszania powinny dodatkowo spełniać wymagania najlepszych dostępnych technik zdefiniowanych w </w:t>
      </w:r>
      <w:r>
        <w:rPr>
          <w:color w:val="1B1B1B"/>
        </w:rPr>
        <w:t>dyrektywie</w:t>
      </w:r>
      <w:r>
        <w:rPr>
          <w:color w:val="000000"/>
        </w:rPr>
        <w:t xml:space="preserve"> 96/61/WE. </w:t>
      </w:r>
      <w:r>
        <w:rPr>
          <w:color w:val="1B1B1B"/>
        </w:rPr>
        <w:t>Dyre</w:t>
      </w:r>
      <w:r>
        <w:rPr>
          <w:color w:val="1B1B1B"/>
        </w:rPr>
        <w:t>ktywę</w:t>
      </w:r>
      <w:r>
        <w:rPr>
          <w:color w:val="000000"/>
        </w:rPr>
        <w:t xml:space="preserve"> 91/689/EWG należy zatem uchylić.</w:t>
      </w:r>
    </w:p>
    <w:p w:rsidR="00B1146D" w:rsidRDefault="00717A52">
      <w:pPr>
        <w:spacing w:before="25" w:after="0"/>
      </w:pPr>
      <w:r>
        <w:rPr>
          <w:color w:val="000000"/>
        </w:rPr>
        <w:t xml:space="preserve">(44) Aby uprościć prawodawstwo wspólnotowe i przyznać odpowiednie miejsce korzyściom dla środowiska, odnośne przepisy </w:t>
      </w:r>
      <w:r>
        <w:rPr>
          <w:color w:val="1B1B1B"/>
        </w:rPr>
        <w:t>dyrektywy</w:t>
      </w:r>
      <w:r>
        <w:rPr>
          <w:color w:val="000000"/>
        </w:rPr>
        <w:t xml:space="preserve"> Rady 75/439/EWG z dnia 16 czerwca 1975 r. w sprawie unieszkodliwiania olejów odpadowych </w:t>
      </w:r>
      <w:r>
        <w:rPr>
          <w:color w:val="000000"/>
          <w:vertAlign w:val="superscript"/>
        </w:rPr>
        <w:t>1</w:t>
      </w:r>
      <w:r>
        <w:rPr>
          <w:color w:val="000000"/>
          <w:vertAlign w:val="superscript"/>
        </w:rPr>
        <w:t>9</w:t>
      </w:r>
      <w:r>
        <w:rPr>
          <w:color w:val="000000"/>
        </w:rPr>
        <w:t xml:space="preserve">  powinny zostać włączone do niniejszej dyrektywy. </w:t>
      </w:r>
      <w:r>
        <w:rPr>
          <w:color w:val="1B1B1B"/>
        </w:rPr>
        <w:t>Dyrektywę</w:t>
      </w:r>
      <w:r>
        <w:rPr>
          <w:color w:val="000000"/>
        </w:rPr>
        <w:t xml:space="preserve"> 75/439/EWG należy w związku z tym uchylić. Gospodarowanie olejami odpadowymi powinno być zgodne z kolejnością priorytetów hierarchii postępowania z odpadami, przy czym priorytet należy przyznać </w:t>
      </w:r>
      <w:r>
        <w:rPr>
          <w:color w:val="000000"/>
        </w:rPr>
        <w:t>opcjom dającym najlepszy dla środowiska wynik całkowity. Selektywne zbieranie olejów odpadowych pozostaje istotnym elementem odpowiedniego nimi gospodarowania oraz zapobiegania powstawaniu szkód w środowisku wynikających z ich niewłaściwego unieszkodliwian</w:t>
      </w:r>
      <w:r>
        <w:rPr>
          <w:color w:val="000000"/>
        </w:rPr>
        <w:t>ia.</w:t>
      </w:r>
    </w:p>
    <w:p w:rsidR="00B1146D" w:rsidRDefault="00717A52">
      <w:pPr>
        <w:spacing w:before="25" w:after="0"/>
      </w:pPr>
      <w:r>
        <w:rPr>
          <w:color w:val="000000"/>
        </w:rPr>
        <w:t>(45) Państwa członkowskie powinny zapewnić skuteczne, proporcjonalne i odstraszające sankcje, które w przypadku naruszenia przepisów niniejszej dyrektywy należy nakładać na osoby fizyczne i prawne odpowiedzialne za gospodarowanie odpadami, takie jak wy</w:t>
      </w:r>
      <w:r>
        <w:rPr>
          <w:color w:val="000000"/>
        </w:rPr>
        <w:t>twórcy odpadów, ich posiadacze, brokerzy, dealerzy, podmioty zajmujące się transportem i podmioty zajmujące się zbieraniem, zakłady lub przedsiębiorstwa wykonujące czynności przetwarzania odpadów i realizujące plany gospodarowania odpadami. Państwa członko</w:t>
      </w:r>
      <w:r>
        <w:rPr>
          <w:color w:val="000000"/>
        </w:rPr>
        <w:t xml:space="preserve">wskie mogą również podjąć działania zmierzające do wyegzekwowania zwrotu kosztów nieprzestrzegania przepisów i zastosowania środków naprawczych, bez uszczerbku dla </w:t>
      </w:r>
      <w:r>
        <w:rPr>
          <w:color w:val="1B1B1B"/>
        </w:rPr>
        <w:t>dyrektywy</w:t>
      </w:r>
      <w:r>
        <w:rPr>
          <w:color w:val="000000"/>
        </w:rPr>
        <w:t xml:space="preserve"> 2004/35/WE Parlamentu Europejskiego i Rady z dnia 21 kwietnia 2004 r. w sprawie od</w:t>
      </w:r>
      <w:r>
        <w:rPr>
          <w:color w:val="000000"/>
        </w:rPr>
        <w:t xml:space="preserve">powiedzialności za środowisko w odniesieniu do zapobiegania i zaradzania szkodom wyrządzonym środowisku naturalnemu </w:t>
      </w:r>
      <w:r>
        <w:rPr>
          <w:color w:val="000000"/>
          <w:vertAlign w:val="superscript"/>
        </w:rPr>
        <w:t>20</w:t>
      </w:r>
      <w:r>
        <w:rPr>
          <w:color w:val="000000"/>
        </w:rPr>
        <w:t xml:space="preserve"> .</w:t>
      </w:r>
    </w:p>
    <w:p w:rsidR="00B1146D" w:rsidRDefault="00717A52">
      <w:pPr>
        <w:spacing w:before="25" w:after="0"/>
      </w:pPr>
      <w:r>
        <w:rPr>
          <w:color w:val="000000"/>
        </w:rPr>
        <w:t xml:space="preserve">(46) Środki niezbędne dla wykonania niniejszej dyrektywy powinny być przyjmowane zgodnie z </w:t>
      </w:r>
      <w:r>
        <w:rPr>
          <w:color w:val="1B1B1B"/>
        </w:rPr>
        <w:t>decyzją</w:t>
      </w:r>
      <w:r>
        <w:rPr>
          <w:color w:val="000000"/>
        </w:rPr>
        <w:t xml:space="preserve"> Rady 1999/468/WE z dnia 28 czerwca 1</w:t>
      </w:r>
      <w:r>
        <w:rPr>
          <w:color w:val="000000"/>
        </w:rPr>
        <w:t xml:space="preserve">999 r. ustanawiającą warunki wykonywania uprawnień wykonawczych przyznanych Komisji </w:t>
      </w:r>
      <w:r>
        <w:rPr>
          <w:color w:val="000000"/>
          <w:vertAlign w:val="superscript"/>
        </w:rPr>
        <w:t>21</w:t>
      </w:r>
      <w:r>
        <w:rPr>
          <w:color w:val="000000"/>
        </w:rPr>
        <w:t xml:space="preserve"> .</w:t>
      </w:r>
    </w:p>
    <w:p w:rsidR="00B1146D" w:rsidRDefault="00717A52">
      <w:pPr>
        <w:spacing w:before="25" w:after="0"/>
      </w:pPr>
      <w:r>
        <w:rPr>
          <w:color w:val="000000"/>
        </w:rPr>
        <w:t>(47) W szczególności należy przyznać Komisji uprawnienia do ustalenia kryteriów dotyczących niektórych kwestii, takich jak warunki uznania danego przedmiotu za produkt</w:t>
      </w:r>
      <w:r>
        <w:rPr>
          <w:color w:val="000000"/>
        </w:rPr>
        <w:t xml:space="preserve"> uboczny, zniesienie statusu odpadów, określenie odpadów uznawanych za niebezpieczne, jak również ustanowienie szczegółowych przepisów w sprawie stosowania i kalkulacji metod weryfikacji zgodności z celami recyklingu określonymi w niniejszej dyrektywie. Po</w:t>
      </w:r>
      <w:r>
        <w:rPr>
          <w:color w:val="000000"/>
        </w:rPr>
        <w:t>nadto należy przyznać Komisji uprawnienia do dostosowywania załączników do postępu technicznego i naukowego oraz do szczegółowego określenia stosowania wzoru dla spalarń, o którym mowa w załączniku II, R1. Ponieważ środki te mają zasięg ogólny i mają na ce</w:t>
      </w:r>
      <w:r>
        <w:rPr>
          <w:color w:val="000000"/>
        </w:rPr>
        <w:t xml:space="preserve">lu zmianę innych niż istotne elementów niniejszej dyrektywy, poprzez uzupełnienie jej o nowe elementy inne niż istotne, muszą one zostać przyjęte zgodnie z procedurą regulacyjną połączoną z kontrolą, o której mowa w </w:t>
      </w:r>
      <w:r>
        <w:rPr>
          <w:color w:val="1B1B1B"/>
        </w:rPr>
        <w:t>art. 5a</w:t>
      </w:r>
      <w:r>
        <w:rPr>
          <w:color w:val="000000"/>
        </w:rPr>
        <w:t xml:space="preserve"> decyzji 1999/468/WE.</w:t>
      </w:r>
    </w:p>
    <w:p w:rsidR="00B1146D" w:rsidRDefault="00717A52">
      <w:pPr>
        <w:spacing w:before="25" w:after="0"/>
      </w:pPr>
      <w:r>
        <w:rPr>
          <w:color w:val="000000"/>
        </w:rPr>
        <w:t>(48) Zgodni</w:t>
      </w:r>
      <w:r>
        <w:rPr>
          <w:color w:val="000000"/>
        </w:rPr>
        <w:t xml:space="preserve">e z ust. 34 </w:t>
      </w:r>
      <w:r>
        <w:rPr>
          <w:color w:val="1B1B1B"/>
        </w:rPr>
        <w:t>Porozumienia</w:t>
      </w:r>
      <w:r>
        <w:rPr>
          <w:color w:val="000000"/>
        </w:rPr>
        <w:t xml:space="preserve"> międzyinstytucjonalnego w sprawie lepszego stanowienia prawa </w:t>
      </w:r>
      <w:r>
        <w:rPr>
          <w:color w:val="000000"/>
          <w:vertAlign w:val="superscript"/>
        </w:rPr>
        <w:t>22</w:t>
      </w:r>
      <w:r>
        <w:rPr>
          <w:color w:val="000000"/>
        </w:rPr>
        <w:t xml:space="preserve">  zachęca się państwa członkowskie do sporządzania, do ich własnych celów i w interesie Wspólnoty, własnych tabel, które w możliwie najszerszym zakresie odzwierciedlają</w:t>
      </w:r>
      <w:r>
        <w:rPr>
          <w:color w:val="000000"/>
        </w:rPr>
        <w:t xml:space="preserve"> korelacje między niniejszą dyrektywą a środkami transpozycji, oraz do podawania ich do wiadomości publicznej.</w:t>
      </w:r>
    </w:p>
    <w:p w:rsidR="00B1146D" w:rsidRDefault="00717A52">
      <w:pPr>
        <w:spacing w:before="25" w:after="0"/>
      </w:pPr>
      <w:r>
        <w:rPr>
          <w:color w:val="000000"/>
        </w:rPr>
        <w:t>(49) Ponieważ cel niniejszej dyrektywy, mianowicie ochrona środowiska i zdrowia ludzkiego nie może być osiągnięty w sposób wystarczający przez pa</w:t>
      </w:r>
      <w:r>
        <w:rPr>
          <w:color w:val="000000"/>
        </w:rPr>
        <w:t xml:space="preserve">ństwa członkowskie, natomiast z uwagi na rozmiary lub skutki dyrektywy możliwe jest lepsze jego osiągnięcie na poziomie Wspólnoty, Wspólnota może podjąć działania zgodnie z zasadą pomocniczości określoną w </w:t>
      </w:r>
      <w:r>
        <w:rPr>
          <w:color w:val="1B1B1B"/>
        </w:rPr>
        <w:t>art. 5</w:t>
      </w:r>
      <w:r>
        <w:rPr>
          <w:color w:val="000000"/>
        </w:rPr>
        <w:t xml:space="preserve"> Traktatu. Zgodnie z zasadą proporcjonalnośc</w:t>
      </w:r>
      <w:r>
        <w:rPr>
          <w:color w:val="000000"/>
        </w:rPr>
        <w:t xml:space="preserve">i, określoną w tym </w:t>
      </w:r>
      <w:r>
        <w:rPr>
          <w:color w:val="1B1B1B"/>
        </w:rPr>
        <w:t>artykule</w:t>
      </w:r>
      <w:r>
        <w:rPr>
          <w:color w:val="000000"/>
        </w:rPr>
        <w:t>, niniejsza dyrektywa nie wykracza poza to, co jest konieczne do osiągnięcia tego celu,</w:t>
      </w:r>
    </w:p>
    <w:p w:rsidR="00B1146D" w:rsidRDefault="00717A52">
      <w:pPr>
        <w:spacing w:before="25" w:after="0"/>
      </w:pPr>
      <w:r>
        <w:rPr>
          <w:color w:val="000000"/>
        </w:rPr>
        <w:t>PRZYJMUJĄ NINIEJSZĄ DYREKTYWĘ:</w:t>
      </w:r>
    </w:p>
    <w:p w:rsidR="00B1146D" w:rsidRDefault="00B1146D">
      <w:pPr>
        <w:spacing w:after="0"/>
      </w:pPr>
    </w:p>
    <w:p w:rsidR="00B1146D" w:rsidRDefault="00717A52">
      <w:pPr>
        <w:spacing w:before="146" w:after="0"/>
        <w:jc w:val="center"/>
      </w:pPr>
      <w:r>
        <w:rPr>
          <w:b/>
          <w:color w:val="000000"/>
        </w:rPr>
        <w:t xml:space="preserve">ROZDZIAŁ  I </w:t>
      </w:r>
    </w:p>
    <w:p w:rsidR="00B1146D" w:rsidRDefault="00717A52">
      <w:pPr>
        <w:spacing w:before="25" w:after="0"/>
        <w:jc w:val="center"/>
      </w:pPr>
      <w:r>
        <w:rPr>
          <w:b/>
          <w:color w:val="000000"/>
        </w:rPr>
        <w:t>PRZEDMIOT, ZAKRES I DEFINICJE</w:t>
      </w:r>
    </w:p>
    <w:p w:rsidR="00B1146D" w:rsidRDefault="00B1146D">
      <w:pPr>
        <w:spacing w:before="80" w:after="0"/>
      </w:pPr>
    </w:p>
    <w:p w:rsidR="00B1146D" w:rsidRDefault="00717A52">
      <w:pPr>
        <w:spacing w:after="0"/>
      </w:pPr>
      <w:r>
        <w:rPr>
          <w:b/>
          <w:color w:val="000000"/>
        </w:rPr>
        <w:t xml:space="preserve">Artykuł  1 </w:t>
      </w:r>
    </w:p>
    <w:p w:rsidR="00B1146D" w:rsidRDefault="00717A52">
      <w:pPr>
        <w:spacing w:after="0"/>
      </w:pPr>
      <w:r>
        <w:rPr>
          <w:b/>
          <w:color w:val="000000"/>
        </w:rPr>
        <w:t>Przedmiot i zakres zastosowania</w:t>
      </w:r>
    </w:p>
    <w:p w:rsidR="00B1146D" w:rsidRDefault="00717A52">
      <w:pPr>
        <w:spacing w:before="25" w:after="0"/>
        <w:jc w:val="both"/>
      </w:pPr>
      <w:r>
        <w:rPr>
          <w:color w:val="000000"/>
        </w:rPr>
        <w:t xml:space="preserve">Niniejsza dyrektywa </w:t>
      </w:r>
      <w:r>
        <w:rPr>
          <w:color w:val="000000"/>
        </w:rPr>
        <w:t>ustanawia środki służące ochronie środowiska i zdrowia ludzkiego poprzez zapobieganie i zmniejszanie negatywnego wpływu wynikającego z wytwarzania odpadów i gospodarowania nimi oraz przez zmniejszenie ogólnych skutków użytkowania zasobów i poprawę efektywn</w:t>
      </w:r>
      <w:r>
        <w:rPr>
          <w:color w:val="000000"/>
        </w:rPr>
        <w:t>ości takiego użytkowania.</w:t>
      </w:r>
    </w:p>
    <w:p w:rsidR="00B1146D" w:rsidRDefault="00B1146D">
      <w:pPr>
        <w:spacing w:before="80" w:after="0"/>
      </w:pPr>
    </w:p>
    <w:p w:rsidR="00B1146D" w:rsidRDefault="00717A52">
      <w:pPr>
        <w:spacing w:after="0"/>
      </w:pPr>
      <w:r>
        <w:rPr>
          <w:b/>
          <w:color w:val="000000"/>
        </w:rPr>
        <w:t xml:space="preserve">Artykuł  2 </w:t>
      </w:r>
    </w:p>
    <w:p w:rsidR="00B1146D" w:rsidRDefault="00717A52">
      <w:pPr>
        <w:spacing w:after="0"/>
      </w:pPr>
      <w:r>
        <w:rPr>
          <w:b/>
          <w:color w:val="000000"/>
        </w:rPr>
        <w:t>Wyłączenia z zakresu zastosowania</w:t>
      </w:r>
    </w:p>
    <w:p w:rsidR="00B1146D" w:rsidRDefault="00717A52">
      <w:pPr>
        <w:spacing w:before="26" w:after="0"/>
      </w:pPr>
      <w:r>
        <w:rPr>
          <w:color w:val="000000"/>
        </w:rPr>
        <w:t>1. Z zakresu zastosowania niniejszej dyrektywy są wyłączone:</w:t>
      </w:r>
    </w:p>
    <w:p w:rsidR="00B1146D" w:rsidRDefault="00717A52">
      <w:pPr>
        <w:spacing w:after="0"/>
        <w:ind w:left="373"/>
      </w:pPr>
      <w:r>
        <w:rPr>
          <w:color w:val="000000"/>
        </w:rPr>
        <w:t>a) wyziewy gazowe emitowane do atmosfery;</w:t>
      </w:r>
    </w:p>
    <w:p w:rsidR="00B1146D" w:rsidRDefault="00717A52">
      <w:pPr>
        <w:spacing w:after="0"/>
        <w:ind w:left="373"/>
      </w:pPr>
      <w:r>
        <w:rPr>
          <w:color w:val="000000"/>
        </w:rPr>
        <w:t>b) grunt (w miejscu), w tym niewydobyta zanieczyszczona gleba i budynki trwale z</w:t>
      </w:r>
      <w:r>
        <w:rPr>
          <w:color w:val="000000"/>
        </w:rPr>
        <w:t>wiązane z gruntem;</w:t>
      </w:r>
    </w:p>
    <w:p w:rsidR="00B1146D" w:rsidRDefault="00717A52">
      <w:pPr>
        <w:spacing w:after="0"/>
        <w:ind w:left="373"/>
      </w:pPr>
      <w:r>
        <w:rPr>
          <w:color w:val="000000"/>
        </w:rPr>
        <w:t>c) niezanieczyszczona gleba i inny materiał występujący w stanie naturalnym, wydobyty w trakcie prac budowlanych, jeżeli jest pewne, że materiał ten zostanie wykorzystany do celów budowlanych w stanie naturalnym w miejscu, w którym zosta</w:t>
      </w:r>
      <w:r>
        <w:rPr>
          <w:color w:val="000000"/>
        </w:rPr>
        <w:t>ł wydobyty;</w:t>
      </w:r>
    </w:p>
    <w:p w:rsidR="00B1146D" w:rsidRDefault="00717A52">
      <w:pPr>
        <w:spacing w:after="0"/>
        <w:ind w:left="373"/>
      </w:pPr>
      <w:r>
        <w:rPr>
          <w:color w:val="000000"/>
        </w:rPr>
        <w:t>d) odpady promieniotwórcze;</w:t>
      </w:r>
    </w:p>
    <w:p w:rsidR="00B1146D" w:rsidRDefault="00717A52">
      <w:pPr>
        <w:spacing w:after="0"/>
        <w:ind w:left="373"/>
      </w:pPr>
      <w:r>
        <w:rPr>
          <w:color w:val="000000"/>
        </w:rPr>
        <w:t>e) wycofane z użytku materiały wybuchowe;</w:t>
      </w:r>
    </w:p>
    <w:p w:rsidR="00B1146D" w:rsidRDefault="00717A52">
      <w:pPr>
        <w:spacing w:after="0"/>
        <w:ind w:left="373"/>
      </w:pPr>
      <w:r>
        <w:rPr>
          <w:color w:val="000000"/>
        </w:rPr>
        <w:t>f) odchody, jeżeli nie są objęte ust. 2 lit. b), słoma i inne naturalne niebędące niebezpiecznymi substancje pochodzące z produkcji rolniczej lub leśnej, które są wykorzystyw</w:t>
      </w:r>
      <w:r>
        <w:rPr>
          <w:color w:val="000000"/>
        </w:rPr>
        <w:t>ane w rolnictwie, leśnictwie lub do produkcji energii z takiej biomasy za pomocą procesów lub metod, które nie są szkodliwe dla środowiska ani nie stanowią zagrożenia dla zdrowia ludzkiego;</w:t>
      </w:r>
    </w:p>
    <w:p w:rsidR="00B1146D" w:rsidRDefault="00717A52">
      <w:pPr>
        <w:spacing w:before="26" w:after="0"/>
      </w:pPr>
      <w:r>
        <w:rPr>
          <w:color w:val="000000"/>
        </w:rPr>
        <w:t>2. Wyłącza się spod stosowania niniejszej dyrektywy, w zakresie, w</w:t>
      </w:r>
      <w:r>
        <w:rPr>
          <w:color w:val="000000"/>
        </w:rPr>
        <w:t xml:space="preserve"> jakim zostały objęte innymi przepisami wspólnotowymi:</w:t>
      </w:r>
    </w:p>
    <w:p w:rsidR="00B1146D" w:rsidRDefault="00717A52">
      <w:pPr>
        <w:spacing w:after="0"/>
        <w:ind w:left="373"/>
      </w:pPr>
      <w:r>
        <w:rPr>
          <w:color w:val="000000"/>
        </w:rPr>
        <w:t>a) ścieki;</w:t>
      </w:r>
    </w:p>
    <w:p w:rsidR="00B1146D" w:rsidRDefault="00717A52">
      <w:pPr>
        <w:spacing w:after="0"/>
        <w:ind w:left="373"/>
      </w:pPr>
      <w:r>
        <w:rPr>
          <w:color w:val="000000"/>
        </w:rPr>
        <w:t xml:space="preserve">b) produkty uboczne pochodzenia zwierzęcego, w tym produkty przetworzone objęte </w:t>
      </w:r>
      <w:r>
        <w:rPr>
          <w:color w:val="1B1B1B"/>
        </w:rPr>
        <w:t>rozporządzeniem</w:t>
      </w:r>
      <w:r>
        <w:rPr>
          <w:color w:val="000000"/>
        </w:rPr>
        <w:t xml:space="preserve"> (WE) nr 1774/2002, z wyjątkiem tych, które są przewidziane do przekształcenia termicznego, składowania na składowisku lub do wykorzystania w zakładzie produkującym biogaz lub w kompostowni;</w:t>
      </w:r>
    </w:p>
    <w:p w:rsidR="00B1146D" w:rsidRDefault="00717A52">
      <w:pPr>
        <w:spacing w:after="0"/>
        <w:ind w:left="373"/>
      </w:pPr>
      <w:r>
        <w:rPr>
          <w:color w:val="000000"/>
        </w:rPr>
        <w:t>c) zwłoki zwierząt, które poniosły śmierć w inny sposób niż przez</w:t>
      </w:r>
      <w:r>
        <w:rPr>
          <w:color w:val="000000"/>
        </w:rPr>
        <w:t xml:space="preserve"> ubój, w tym zwierząt uśmierconych w celu wyeliminowania chorób epizootycznych, i które są unieszkodliwiane zgodnie z </w:t>
      </w:r>
      <w:r>
        <w:rPr>
          <w:color w:val="1B1B1B"/>
        </w:rPr>
        <w:t>rozporządzeniem</w:t>
      </w:r>
      <w:r>
        <w:rPr>
          <w:color w:val="000000"/>
        </w:rPr>
        <w:t xml:space="preserve"> (WE) nr 1774/2002;</w:t>
      </w:r>
    </w:p>
    <w:p w:rsidR="00B1146D" w:rsidRDefault="00717A52">
      <w:pPr>
        <w:spacing w:after="0"/>
        <w:ind w:left="373"/>
      </w:pPr>
      <w:r>
        <w:rPr>
          <w:color w:val="000000"/>
        </w:rPr>
        <w:t xml:space="preserve">d) odpady powstałe w wyniku poszukiwania, wydobywania, przetwarzania i składowania zasobów mineralnych </w:t>
      </w:r>
      <w:r>
        <w:rPr>
          <w:color w:val="000000"/>
        </w:rPr>
        <w:t xml:space="preserve">oraz z działalności odkrywkowej objęte </w:t>
      </w:r>
      <w:r>
        <w:rPr>
          <w:color w:val="1B1B1B"/>
        </w:rPr>
        <w:t>dyrektywą</w:t>
      </w:r>
      <w:r>
        <w:rPr>
          <w:color w:val="000000"/>
        </w:rPr>
        <w:t xml:space="preserve"> 2006/21/WE Parlamentu Europejskiego i Rady z dnia 15 marca 2006 r. w sprawie gospodarowania odpadami pochodzącymi z przemysłu wydobywczego </w:t>
      </w:r>
      <w:r>
        <w:rPr>
          <w:color w:val="000000"/>
          <w:vertAlign w:val="superscript"/>
        </w:rPr>
        <w:t>23</w:t>
      </w:r>
      <w:r>
        <w:rPr>
          <w:color w:val="000000"/>
        </w:rPr>
        <w:t xml:space="preserve"> .</w:t>
      </w:r>
    </w:p>
    <w:p w:rsidR="00B1146D" w:rsidRDefault="00717A52">
      <w:pPr>
        <w:spacing w:before="26" w:after="0"/>
      </w:pPr>
      <w:r>
        <w:rPr>
          <w:color w:val="000000"/>
        </w:rPr>
        <w:t xml:space="preserve">3. </w:t>
      </w:r>
      <w:r>
        <w:rPr>
          <w:color w:val="000000"/>
          <w:vertAlign w:val="superscript"/>
        </w:rPr>
        <w:t>24</w:t>
      </w:r>
      <w:r>
        <w:rPr>
          <w:color w:val="000000"/>
        </w:rPr>
        <w:t xml:space="preserve">  Bez uszczerbku dla zobowiązań wynikających z innych odpo</w:t>
      </w:r>
      <w:r>
        <w:rPr>
          <w:color w:val="000000"/>
        </w:rPr>
        <w:t>wiednich przepisów wspólnotowych, osady przemieszczane w obrębie wód powierzchniowych w celu związanym z zarządzaniem wodami i drogami wodnymi lub zapobieganiem powodziom bądź ograniczaniem skutków powodzi i susz lub refulowaniem ziemi są wyłączone z zakre</w:t>
      </w:r>
      <w:r>
        <w:rPr>
          <w:color w:val="000000"/>
        </w:rPr>
        <w:t>su zastosowania niniejszej dyrektywy, jeżeli zostanie wykazane, że osady te nie są niebezpieczne.</w:t>
      </w:r>
    </w:p>
    <w:p w:rsidR="00B1146D" w:rsidRDefault="00717A52">
      <w:pPr>
        <w:spacing w:before="26" w:after="0"/>
      </w:pPr>
      <w:r>
        <w:rPr>
          <w:color w:val="000000"/>
        </w:rPr>
        <w:t>4. Szczegółowe przepisy dotyczące konkretnych przypadków lub uzupełniające przepisy niniejszej dyrektywy w odniesieniu do gospodarowania poszczególnymi katego</w:t>
      </w:r>
      <w:r>
        <w:rPr>
          <w:color w:val="000000"/>
        </w:rPr>
        <w:t>riami odpadów mogą zostać ustanowione odrębnymi dyrektywami.</w:t>
      </w:r>
    </w:p>
    <w:p w:rsidR="00B1146D" w:rsidRDefault="00B1146D">
      <w:pPr>
        <w:spacing w:before="80" w:after="0"/>
      </w:pPr>
    </w:p>
    <w:p w:rsidR="00B1146D" w:rsidRDefault="00717A52">
      <w:pPr>
        <w:spacing w:after="0"/>
      </w:pPr>
      <w:r>
        <w:rPr>
          <w:b/>
          <w:color w:val="000000"/>
        </w:rPr>
        <w:t xml:space="preserve">Artykuł  3 </w:t>
      </w:r>
    </w:p>
    <w:p w:rsidR="00B1146D" w:rsidRDefault="00717A52">
      <w:pPr>
        <w:spacing w:after="0"/>
      </w:pPr>
      <w:r>
        <w:rPr>
          <w:b/>
          <w:color w:val="000000"/>
        </w:rPr>
        <w:t>Definicje</w:t>
      </w:r>
    </w:p>
    <w:p w:rsidR="00B1146D" w:rsidRDefault="00717A52">
      <w:pPr>
        <w:spacing w:before="25" w:after="0"/>
        <w:jc w:val="both"/>
      </w:pPr>
      <w:r>
        <w:rPr>
          <w:color w:val="000000"/>
        </w:rPr>
        <w:t>Do celów niniejszej dyrektywy stosuje się następujące definicje:</w:t>
      </w:r>
    </w:p>
    <w:p w:rsidR="00B1146D" w:rsidRDefault="00717A52">
      <w:pPr>
        <w:spacing w:before="26" w:after="0"/>
        <w:ind w:left="373"/>
      </w:pPr>
      <w:r>
        <w:rPr>
          <w:color w:val="000000"/>
        </w:rPr>
        <w:t xml:space="preserve">1) "odpady" oznaczają każdą substancję lub przedmiot, których posiadacz pozbywa się, zamierza się pozbyć, </w:t>
      </w:r>
      <w:r>
        <w:rPr>
          <w:color w:val="000000"/>
        </w:rPr>
        <w:t>lub do których pozbycia został zobowiązany;</w:t>
      </w:r>
    </w:p>
    <w:p w:rsidR="00B1146D" w:rsidRDefault="00717A52">
      <w:pPr>
        <w:spacing w:before="26" w:after="0"/>
        <w:ind w:left="373"/>
      </w:pPr>
      <w:r>
        <w:rPr>
          <w:color w:val="000000"/>
        </w:rPr>
        <w:t>2) "odpady niebezpieczne" oznaczają odpady wykazujące co najmniej jedną spośród właściwości niebezpiecznych wymienionych w załączniku III;</w:t>
      </w:r>
    </w:p>
    <w:p w:rsidR="00B1146D" w:rsidRDefault="00717A52">
      <w:pPr>
        <w:spacing w:before="26" w:after="0"/>
        <w:ind w:left="373"/>
      </w:pPr>
      <w:r>
        <w:rPr>
          <w:color w:val="000000"/>
        </w:rPr>
        <w:t>3) "oleje odpadowe" oznaczają wszelkie mineralne lub syntetyczne oleje sm</w:t>
      </w:r>
      <w:r>
        <w:rPr>
          <w:color w:val="000000"/>
        </w:rPr>
        <w:t>arowe lub przemysłowe, które przestały się nadawać do użytku, do jakiego były pierwotnie przeznaczone, takie jak zużyte oleje z silników spalinowych i oleje przekładniowe, oleje smarowe, oleje turbinowe oraz oleje hydrauliczne;</w:t>
      </w:r>
    </w:p>
    <w:p w:rsidR="00B1146D" w:rsidRDefault="00717A52">
      <w:pPr>
        <w:spacing w:before="26" w:after="0"/>
        <w:ind w:left="373"/>
      </w:pPr>
      <w:r>
        <w:rPr>
          <w:color w:val="000000"/>
        </w:rPr>
        <w:t>4) "bioodpady" oznaczają ule</w:t>
      </w:r>
      <w:r>
        <w:rPr>
          <w:color w:val="000000"/>
        </w:rPr>
        <w:t>gające biodegradacji odpady ogrodowe i parkowe, odpady spożywcze i kuchenne z gospodarstw domowych, restauracji, placówek zbiorowego żywienia i handlu detalicznego i porównywalne odpady z zakładów przetwórstwa spożywczego;</w:t>
      </w:r>
    </w:p>
    <w:p w:rsidR="00B1146D" w:rsidRDefault="00717A52">
      <w:pPr>
        <w:spacing w:before="26" w:after="0"/>
        <w:ind w:left="373"/>
      </w:pPr>
      <w:r>
        <w:rPr>
          <w:color w:val="000000"/>
        </w:rPr>
        <w:t>5) "wytwórca odpadów" oznacza dow</w:t>
      </w:r>
      <w:r>
        <w:rPr>
          <w:color w:val="000000"/>
        </w:rPr>
        <w:t>olny podmiot, którego działalność prowadzi do powstawania odpadów (pierwotny wytwórca odpadów) lub dowolny podmiot zajmujący się przetwarzaniem wstępnym, mieszaniem lub innymi procesami prowadzącymi do zmiany charakteru lub składu tych odpadów;</w:t>
      </w:r>
    </w:p>
    <w:p w:rsidR="00B1146D" w:rsidRDefault="00717A52">
      <w:pPr>
        <w:spacing w:before="26" w:after="0"/>
        <w:ind w:left="373"/>
      </w:pPr>
      <w:r>
        <w:rPr>
          <w:color w:val="000000"/>
        </w:rPr>
        <w:t>6) "posiada</w:t>
      </w:r>
      <w:r>
        <w:rPr>
          <w:color w:val="000000"/>
        </w:rPr>
        <w:t>cz odpadów" oznacza wytwórcę odpadów lub osobę fizyczną lub prawną będącą w posiadaniu tych odpadów;</w:t>
      </w:r>
    </w:p>
    <w:p w:rsidR="00B1146D" w:rsidRDefault="00717A52">
      <w:pPr>
        <w:spacing w:before="26" w:after="0"/>
        <w:ind w:left="373"/>
      </w:pPr>
      <w:r>
        <w:rPr>
          <w:color w:val="000000"/>
        </w:rPr>
        <w:t>7) "dealer" oznacza jakikolwiek podmiot występujący w roli zleceniodawcy w transakcji zakupu, a następnie sprzedaży odpadów, w tym oznacza również dealerów</w:t>
      </w:r>
      <w:r>
        <w:rPr>
          <w:color w:val="000000"/>
        </w:rPr>
        <w:t>, którzy nie obejmują odpadów fizycznie w posiadanie;</w:t>
      </w:r>
    </w:p>
    <w:p w:rsidR="00B1146D" w:rsidRDefault="00717A52">
      <w:pPr>
        <w:spacing w:before="26" w:after="0"/>
        <w:ind w:left="373"/>
      </w:pPr>
      <w:r>
        <w:rPr>
          <w:color w:val="000000"/>
        </w:rPr>
        <w:t>8) "broker" oznacza jakikolwiek podmiot organizujący odzysk lub unieszkodliwianie odpadów w imieniu innych stron, w tym oznacza również brokerów, którzy nie obejmują odpadów fizycznie w posiadanie;</w:t>
      </w:r>
    </w:p>
    <w:p w:rsidR="00B1146D" w:rsidRDefault="00717A52">
      <w:pPr>
        <w:spacing w:before="26" w:after="0"/>
        <w:ind w:left="373"/>
      </w:pPr>
      <w:r>
        <w:rPr>
          <w:color w:val="000000"/>
        </w:rPr>
        <w:t>9) "</w:t>
      </w:r>
      <w:r>
        <w:rPr>
          <w:color w:val="000000"/>
        </w:rPr>
        <w:t>gospodarowanie odpadami" oznacza zbieranie, transport, odzysk oraz unieszkodliwianie odpadów, łącznie z nadzorem nad tego rodzaju działaniami, jak również późniejsze postępowanie z miejscami unieszkodliwiania odpadów wraz z działaniami wykonywanymi w chara</w:t>
      </w:r>
      <w:r>
        <w:rPr>
          <w:color w:val="000000"/>
        </w:rPr>
        <w:t>kterze dealera lub brokera;</w:t>
      </w:r>
    </w:p>
    <w:p w:rsidR="00B1146D" w:rsidRDefault="00717A52">
      <w:pPr>
        <w:spacing w:before="26" w:after="0"/>
        <w:ind w:left="373"/>
      </w:pPr>
      <w:r>
        <w:rPr>
          <w:color w:val="000000"/>
        </w:rPr>
        <w:t>10) "zbieranie" oznacza gromadzenie odpadów, w tym również wstępne sortowanie i wstępne magazynowanie odpadów do celów ich transportu do zakładu przetwarzania;</w:t>
      </w:r>
    </w:p>
    <w:p w:rsidR="00B1146D" w:rsidRDefault="00717A52">
      <w:pPr>
        <w:spacing w:before="26" w:after="0"/>
        <w:ind w:left="373"/>
      </w:pPr>
      <w:r>
        <w:rPr>
          <w:color w:val="000000"/>
        </w:rPr>
        <w:t>11) "selektywna zbiórka" oznacza zbiórkę, w ramach której dany strum</w:t>
      </w:r>
      <w:r>
        <w:rPr>
          <w:color w:val="000000"/>
        </w:rPr>
        <w:t>ień odpadów obejmuje jedynie odpady jednego rodzaju i o tym samym charakterze w celu ułatwienia specyficznego przetwarzania;</w:t>
      </w:r>
    </w:p>
    <w:p w:rsidR="00B1146D" w:rsidRDefault="00717A52">
      <w:pPr>
        <w:spacing w:before="26" w:after="0"/>
        <w:ind w:left="373"/>
      </w:pPr>
      <w:r>
        <w:rPr>
          <w:color w:val="000000"/>
        </w:rPr>
        <w:t>12) "zapobieganie" oznacza środki zastosowane zanim dana substancja, materiał lub produkt staną się odpadami, które zmniejszają:</w:t>
      </w:r>
    </w:p>
    <w:p w:rsidR="00B1146D" w:rsidRDefault="00717A52">
      <w:pPr>
        <w:spacing w:after="0"/>
        <w:ind w:left="746"/>
      </w:pPr>
      <w:r>
        <w:rPr>
          <w:color w:val="000000"/>
        </w:rPr>
        <w:t>a)</w:t>
      </w:r>
      <w:r>
        <w:rPr>
          <w:color w:val="000000"/>
        </w:rPr>
        <w:t xml:space="preserve"> ilość odpadów, w tym również przez ponowne użycie produktów lub wydłużenie okresu żywotności produktów;</w:t>
      </w:r>
    </w:p>
    <w:p w:rsidR="00B1146D" w:rsidRDefault="00717A52">
      <w:pPr>
        <w:spacing w:after="0"/>
        <w:ind w:left="746"/>
      </w:pPr>
      <w:r>
        <w:rPr>
          <w:color w:val="000000"/>
        </w:rPr>
        <w:t>b) niekorzystne oddziaływanie wytworzonych odpadów na środowisko i zdrowie ludzkie; lub</w:t>
      </w:r>
    </w:p>
    <w:p w:rsidR="00B1146D" w:rsidRDefault="00717A52">
      <w:pPr>
        <w:spacing w:after="0"/>
        <w:ind w:left="746"/>
      </w:pPr>
      <w:r>
        <w:rPr>
          <w:color w:val="000000"/>
        </w:rPr>
        <w:t>c) zawartość substancji szkodliwych w materiałach i produktach;</w:t>
      </w:r>
    </w:p>
    <w:p w:rsidR="00B1146D" w:rsidRDefault="00717A52">
      <w:pPr>
        <w:spacing w:before="26" w:after="0"/>
        <w:ind w:left="373"/>
      </w:pPr>
      <w:r>
        <w:rPr>
          <w:color w:val="000000"/>
        </w:rPr>
        <w:t>13) "ponowne użycie" oznacza jakikolwiek proces, w wyniku którego produkty lub składniki niebędące odpadami są wykorzystywane ponownie do tego samego celu, do którego były przeznaczone;</w:t>
      </w:r>
    </w:p>
    <w:p w:rsidR="00B1146D" w:rsidRDefault="00717A52">
      <w:pPr>
        <w:spacing w:before="26" w:after="0"/>
        <w:ind w:left="373"/>
      </w:pPr>
      <w:r>
        <w:rPr>
          <w:color w:val="000000"/>
        </w:rPr>
        <w:t xml:space="preserve">14) "przetwarzanie" oznacza procesy odzysku lub unieszkodliwiania, w </w:t>
      </w:r>
      <w:r>
        <w:rPr>
          <w:color w:val="000000"/>
        </w:rPr>
        <w:t>tym przygotowanie poprzedzające odzysk lub unieszkodliwianie;</w:t>
      </w:r>
    </w:p>
    <w:p w:rsidR="00B1146D" w:rsidRDefault="00717A52">
      <w:pPr>
        <w:spacing w:before="26" w:after="0"/>
        <w:ind w:left="373"/>
      </w:pPr>
      <w:r>
        <w:rPr>
          <w:color w:val="000000"/>
        </w:rPr>
        <w:t>15) "odzysk" oznacza jakikolwiek proces, którego głównym wynikiem jest to, aby odpady służyły użytecznemu zastosowaniu, poprzez zastąpienie innych materiałów, które w przeciwnym wypadku zostałyb</w:t>
      </w:r>
      <w:r>
        <w:rPr>
          <w:color w:val="000000"/>
        </w:rPr>
        <w:t>y użyte do spełnienia danej funkcji, lub w wyniku którego odpady są przygotowywane do spełnienia takiej funkcji w danym zakładzie lub w szerszej gospodarce. Załącznik II zawiera niewyczerpujący wykaz procesów odzysku;</w:t>
      </w:r>
    </w:p>
    <w:p w:rsidR="00B1146D" w:rsidRDefault="00717A52">
      <w:pPr>
        <w:spacing w:before="26" w:after="0"/>
        <w:ind w:left="373"/>
      </w:pPr>
      <w:r>
        <w:rPr>
          <w:color w:val="000000"/>
        </w:rPr>
        <w:t>16) "przygotowanie do ponownego użycia</w:t>
      </w:r>
      <w:r>
        <w:rPr>
          <w:color w:val="000000"/>
        </w:rPr>
        <w:t>" oznacza procesy odzysku polegające na sprawdzeniu, czyszczeniu lub naprawie, w ramach których produkty lub składniki produktów, które wcześniej stały się odpadami, są przygotowywane do tego, by mogły być ponownie wykorzystywane bez jakichkolwiek innych c</w:t>
      </w:r>
      <w:r>
        <w:rPr>
          <w:color w:val="000000"/>
        </w:rPr>
        <w:t>zynności przetwarzania wstępnego;</w:t>
      </w:r>
    </w:p>
    <w:p w:rsidR="00B1146D" w:rsidRDefault="00717A52">
      <w:pPr>
        <w:spacing w:before="26" w:after="0"/>
        <w:ind w:left="373"/>
      </w:pPr>
      <w:r>
        <w:rPr>
          <w:color w:val="000000"/>
        </w:rPr>
        <w:t xml:space="preserve">17) "recykling" oznacza jakikolwiek proces odzysku, w ramach którego materiały odpadowe są ponownie przetwarzane w produkty, materiały lub substancje wykorzystywane w pierwotnym celu lub innych celach. Obejmuje to ponowne </w:t>
      </w:r>
      <w:r>
        <w:rPr>
          <w:color w:val="000000"/>
        </w:rPr>
        <w:t>przetwarzanie materiału organicznego, ale nie obejmuje odzysku energii i ponownego przetwarzania na materiały, które mają być wykorzystane jako paliwa lub do celów wypełniania wyrobisk;</w:t>
      </w:r>
    </w:p>
    <w:p w:rsidR="00B1146D" w:rsidRDefault="00717A52">
      <w:pPr>
        <w:spacing w:before="26" w:after="0"/>
        <w:ind w:left="373"/>
      </w:pPr>
      <w:r>
        <w:rPr>
          <w:color w:val="000000"/>
        </w:rPr>
        <w:t>18) "regeneracja olejów odpadowych" oznacza jakikolwiek proces recykli</w:t>
      </w:r>
      <w:r>
        <w:rPr>
          <w:color w:val="000000"/>
        </w:rPr>
        <w:t>ngu, w którym w wyniku rafinacji olejów odpadowych mogą zostać wyprodukowane oleje bazowe, w szczególności przez usunięcie znajdujących się w olejach odpadowych zanieczyszczeń, produktów reakcji utleniania i dodatków;</w:t>
      </w:r>
    </w:p>
    <w:p w:rsidR="00B1146D" w:rsidRDefault="00717A52">
      <w:pPr>
        <w:spacing w:before="26" w:after="0"/>
        <w:ind w:left="373"/>
      </w:pPr>
      <w:r>
        <w:rPr>
          <w:color w:val="000000"/>
        </w:rPr>
        <w:t>19) "unieszkodliwianie" oznacza jakiko</w:t>
      </w:r>
      <w:r>
        <w:rPr>
          <w:color w:val="000000"/>
        </w:rPr>
        <w:t>lwiek proces niebędący odzyskiem, nawet jeżeli wtórnym skutkiem takiego procesu jest odzysk substancji lub energii. Załącznik I zawiera niewyczerpujący wykaz procesów unieszkodliwiania;</w:t>
      </w:r>
    </w:p>
    <w:p w:rsidR="00B1146D" w:rsidRDefault="00717A52">
      <w:pPr>
        <w:spacing w:before="26" w:after="0"/>
        <w:ind w:left="373"/>
      </w:pPr>
      <w:r>
        <w:rPr>
          <w:color w:val="000000"/>
        </w:rPr>
        <w:t>20) "najlepsze dostępne techniki" oznaczają najlepsze dostępne technik</w:t>
      </w:r>
      <w:r>
        <w:rPr>
          <w:color w:val="000000"/>
        </w:rPr>
        <w:t xml:space="preserve">i zdefiniowane w </w:t>
      </w:r>
      <w:r>
        <w:rPr>
          <w:color w:val="1B1B1B"/>
        </w:rPr>
        <w:t>art. 2 pkt 11</w:t>
      </w:r>
      <w:r>
        <w:rPr>
          <w:color w:val="000000"/>
        </w:rPr>
        <w:t xml:space="preserve"> dyrektywy 96/61/WE.</w:t>
      </w:r>
    </w:p>
    <w:p w:rsidR="00B1146D" w:rsidRDefault="00B1146D">
      <w:pPr>
        <w:spacing w:before="80" w:after="0"/>
      </w:pPr>
    </w:p>
    <w:p w:rsidR="00B1146D" w:rsidRDefault="00717A52">
      <w:pPr>
        <w:spacing w:after="0"/>
      </w:pPr>
      <w:r>
        <w:rPr>
          <w:b/>
          <w:color w:val="000000"/>
        </w:rPr>
        <w:t xml:space="preserve">Artykuł  4 </w:t>
      </w:r>
    </w:p>
    <w:p w:rsidR="00B1146D" w:rsidRDefault="00717A52">
      <w:pPr>
        <w:spacing w:after="0"/>
      </w:pPr>
      <w:r>
        <w:rPr>
          <w:b/>
          <w:color w:val="000000"/>
        </w:rPr>
        <w:t>Hierarchia postępowania z odpadami</w:t>
      </w:r>
    </w:p>
    <w:p w:rsidR="00B1146D" w:rsidRDefault="00717A52">
      <w:pPr>
        <w:spacing w:before="26" w:after="0"/>
      </w:pPr>
      <w:r>
        <w:rPr>
          <w:color w:val="000000"/>
        </w:rPr>
        <w:t xml:space="preserve">1. Następująca hierarchia postępowania z odpadami ma zastosowanie jako kolejność priorytetów w przepisach prawa i polityce dotyczących zapobiegania </w:t>
      </w:r>
      <w:r>
        <w:rPr>
          <w:color w:val="000000"/>
        </w:rPr>
        <w:t>powstawaniu odpadów oraz gospodarowania odpadami:</w:t>
      </w:r>
    </w:p>
    <w:p w:rsidR="00B1146D" w:rsidRDefault="00717A52">
      <w:pPr>
        <w:spacing w:after="0"/>
        <w:ind w:left="373"/>
      </w:pPr>
      <w:r>
        <w:rPr>
          <w:color w:val="000000"/>
        </w:rPr>
        <w:t>a) zapobieganie;</w:t>
      </w:r>
    </w:p>
    <w:p w:rsidR="00B1146D" w:rsidRDefault="00717A52">
      <w:pPr>
        <w:spacing w:after="0"/>
        <w:ind w:left="373"/>
      </w:pPr>
      <w:r>
        <w:rPr>
          <w:color w:val="000000"/>
        </w:rPr>
        <w:t>b) przygotowywanie do ponownego użycia;</w:t>
      </w:r>
    </w:p>
    <w:p w:rsidR="00B1146D" w:rsidRDefault="00717A52">
      <w:pPr>
        <w:spacing w:after="0"/>
        <w:ind w:left="373"/>
      </w:pPr>
      <w:r>
        <w:rPr>
          <w:color w:val="000000"/>
        </w:rPr>
        <w:t>c) recykling;</w:t>
      </w:r>
    </w:p>
    <w:p w:rsidR="00B1146D" w:rsidRDefault="00717A52">
      <w:pPr>
        <w:spacing w:after="0"/>
        <w:ind w:left="373"/>
      </w:pPr>
      <w:r>
        <w:rPr>
          <w:color w:val="000000"/>
        </w:rPr>
        <w:t>d) inne metody odzysku, np. odzysk energii; oraz</w:t>
      </w:r>
    </w:p>
    <w:p w:rsidR="00B1146D" w:rsidRDefault="00717A52">
      <w:pPr>
        <w:spacing w:after="0"/>
        <w:ind w:left="373"/>
      </w:pPr>
      <w:r>
        <w:rPr>
          <w:color w:val="000000"/>
        </w:rPr>
        <w:t>e) unieszkodliwianie.</w:t>
      </w:r>
    </w:p>
    <w:p w:rsidR="00B1146D" w:rsidRDefault="00717A52">
      <w:pPr>
        <w:spacing w:before="26" w:after="0"/>
      </w:pPr>
      <w:r>
        <w:rPr>
          <w:color w:val="000000"/>
        </w:rPr>
        <w:t xml:space="preserve">2. Stosując hierarchię postępowania z odpadami, o której mowa w </w:t>
      </w:r>
      <w:r>
        <w:rPr>
          <w:color w:val="000000"/>
        </w:rPr>
        <w:t>ust. 1, państwa członkowskie podejmują środki sprzyjające rozwiązaniom, które dają najlepszy dla środowiska wynik całkowity. Może to oznaczać dla niektórych strumieni odpadów odstąpienie od tej hierarchii, jeżeli jest to uzasadnione zastosowaniem metodolog</w:t>
      </w:r>
      <w:r>
        <w:rPr>
          <w:color w:val="000000"/>
        </w:rPr>
        <w:t>ii myślenia o cyklu życia, obejmującej całkowity wpływ związany z wytwarzaniem i gospodarowaniem takimi odpadami.</w:t>
      </w:r>
    </w:p>
    <w:p w:rsidR="00B1146D" w:rsidRDefault="00717A52">
      <w:pPr>
        <w:spacing w:before="25" w:after="0"/>
        <w:jc w:val="both"/>
      </w:pPr>
      <w:r>
        <w:rPr>
          <w:color w:val="000000"/>
        </w:rPr>
        <w:t>Państwa członkowskie zapewniają, aby proces tworzenia polityki i przepisów prawa dotyczących odpadów był w pełni przejrzysty, zgodny z obowiąz</w:t>
      </w:r>
      <w:r>
        <w:rPr>
          <w:color w:val="000000"/>
        </w:rPr>
        <w:t>ującymi krajowymi przepisami w zakresie konsultacji i zaangażowania obywateli i zainteresowanych stron.</w:t>
      </w:r>
    </w:p>
    <w:p w:rsidR="00B1146D" w:rsidRDefault="00717A52">
      <w:pPr>
        <w:spacing w:before="25" w:after="0"/>
        <w:jc w:val="both"/>
      </w:pPr>
      <w:r>
        <w:rPr>
          <w:color w:val="000000"/>
        </w:rPr>
        <w:t>Państwa członkowskie biorą pod uwagę ogólne zasady ochrony środowiska dotyczące ostrożności i zrównoważonego podejścia, wykonalności technicznej i opłac</w:t>
      </w:r>
      <w:r>
        <w:rPr>
          <w:color w:val="000000"/>
        </w:rPr>
        <w:t>alności ekonomicznej, ochrony zasobów, a także całkowitego oddziaływania na środowisko, zdrowie ludzkie, gospodarkę i aspekty społeczne, zgodnie z art. 1 i 13.</w:t>
      </w:r>
    </w:p>
    <w:p w:rsidR="00B1146D" w:rsidRDefault="00B1146D">
      <w:pPr>
        <w:spacing w:before="80" w:after="0"/>
      </w:pPr>
    </w:p>
    <w:p w:rsidR="00B1146D" w:rsidRDefault="00717A52">
      <w:pPr>
        <w:spacing w:after="0"/>
      </w:pPr>
      <w:r>
        <w:rPr>
          <w:b/>
          <w:color w:val="000000"/>
        </w:rPr>
        <w:t xml:space="preserve">Artykuł  5 </w:t>
      </w:r>
    </w:p>
    <w:p w:rsidR="00B1146D" w:rsidRDefault="00717A52">
      <w:pPr>
        <w:spacing w:after="0"/>
      </w:pPr>
      <w:r>
        <w:rPr>
          <w:b/>
          <w:color w:val="000000"/>
        </w:rPr>
        <w:t>Produkty uboczne</w:t>
      </w:r>
    </w:p>
    <w:p w:rsidR="00B1146D" w:rsidRDefault="00717A52">
      <w:pPr>
        <w:spacing w:before="26" w:after="0"/>
      </w:pPr>
      <w:r>
        <w:rPr>
          <w:color w:val="000000"/>
        </w:rPr>
        <w:t>1. Substancja lub przedmiot, powstające w wyniku procesu produkcyj</w:t>
      </w:r>
      <w:r>
        <w:rPr>
          <w:color w:val="000000"/>
        </w:rPr>
        <w:t>nego, którego podstawowym celem nie jest ich produkowanie, mogą być uznane za produkt uboczny, a nie za odpady, o których mowa w art. 3 pkt 1, wyłącznie jeżeli spełnione są następujące warunki:</w:t>
      </w:r>
    </w:p>
    <w:p w:rsidR="00B1146D" w:rsidRDefault="00717A52">
      <w:pPr>
        <w:spacing w:after="0"/>
        <w:ind w:left="373"/>
      </w:pPr>
      <w:r>
        <w:rPr>
          <w:color w:val="000000"/>
        </w:rPr>
        <w:t>a) dalsze wykorzystywanie danej substancji lub tego przedmiotu</w:t>
      </w:r>
      <w:r>
        <w:rPr>
          <w:color w:val="000000"/>
        </w:rPr>
        <w:t xml:space="preserve"> jest pewne;</w:t>
      </w:r>
    </w:p>
    <w:p w:rsidR="00B1146D" w:rsidRDefault="00717A52">
      <w:pPr>
        <w:spacing w:after="0"/>
        <w:ind w:left="373"/>
      </w:pPr>
      <w:r>
        <w:rPr>
          <w:color w:val="000000"/>
        </w:rPr>
        <w:t>b) dana substancja lub przedmiot mogą być wykorzystywane bezpośrednio bez jakiegokolwiek dalszego przetwarzania innego niż normalna praktyka przemysłowa;</w:t>
      </w:r>
    </w:p>
    <w:p w:rsidR="00B1146D" w:rsidRDefault="00717A52">
      <w:pPr>
        <w:spacing w:after="0"/>
        <w:ind w:left="373"/>
      </w:pPr>
      <w:r>
        <w:rPr>
          <w:color w:val="000000"/>
        </w:rPr>
        <w:t>c) dana substancja lub przedmiot są produkowane jako integralna część procesu produkcyjne</w:t>
      </w:r>
      <w:r>
        <w:rPr>
          <w:color w:val="000000"/>
        </w:rPr>
        <w:t>go; oraz</w:t>
      </w:r>
    </w:p>
    <w:p w:rsidR="00B1146D" w:rsidRDefault="00717A52">
      <w:pPr>
        <w:spacing w:after="0"/>
        <w:ind w:left="373"/>
      </w:pPr>
      <w:r>
        <w:rPr>
          <w:color w:val="000000"/>
        </w:rPr>
        <w:t>d) dalsze wykorzystywanie jest zgodne z prawem, tzn. dana substancja lub przedmiot spełniają wszelkie istotne wymagania dla określonego zastosowania w zakresie produktu, ochrony środowiska i zdrowia ludzkiego, i nie doprowadzi do ogólnych niekorzy</w:t>
      </w:r>
      <w:r>
        <w:rPr>
          <w:color w:val="000000"/>
        </w:rPr>
        <w:t>stnych oddziaływań na środowisko lub zdrowie ludzkie.</w:t>
      </w:r>
    </w:p>
    <w:p w:rsidR="00B1146D" w:rsidRDefault="00717A52">
      <w:pPr>
        <w:spacing w:before="26" w:after="0"/>
      </w:pPr>
      <w:r>
        <w:rPr>
          <w:color w:val="000000"/>
        </w:rPr>
        <w:t>2. Na podstawie warunków określonych w ust. 1 można przyjąć środki określające kryteria, jakie muszą być spełnione, aby konkretne substancje lub przedmioty mogły być uznane za produkty uboczne, a nie za</w:t>
      </w:r>
      <w:r>
        <w:rPr>
          <w:color w:val="000000"/>
        </w:rPr>
        <w:t xml:space="preserve"> odpady, o których mowa w art. 3 pkt 1. Środki te, mające na celu zmianę innych niż istotne elementów niniejszej dyrektywy poprzez jej uzupełnienie, są przyjmowane zgodnie z procedurą regulacyjną połączoną z kontrolą, o której mowa w art. 39 ust. 2.</w:t>
      </w:r>
    </w:p>
    <w:p w:rsidR="00B1146D" w:rsidRDefault="00B1146D">
      <w:pPr>
        <w:spacing w:before="80" w:after="0"/>
      </w:pPr>
    </w:p>
    <w:p w:rsidR="00B1146D" w:rsidRDefault="00717A52">
      <w:pPr>
        <w:spacing w:after="0"/>
      </w:pPr>
      <w:r>
        <w:rPr>
          <w:b/>
          <w:color w:val="000000"/>
        </w:rPr>
        <w:t>Artyk</w:t>
      </w:r>
      <w:r>
        <w:rPr>
          <w:b/>
          <w:color w:val="000000"/>
        </w:rPr>
        <w:t xml:space="preserve">uł  6 </w:t>
      </w:r>
    </w:p>
    <w:p w:rsidR="00B1146D" w:rsidRDefault="00717A52">
      <w:pPr>
        <w:spacing w:after="0"/>
      </w:pPr>
      <w:r>
        <w:rPr>
          <w:b/>
          <w:color w:val="000000"/>
        </w:rPr>
        <w:t>Utrata statusu odpadu</w:t>
      </w:r>
    </w:p>
    <w:p w:rsidR="00B1146D" w:rsidRDefault="00717A52">
      <w:pPr>
        <w:spacing w:before="26" w:after="0"/>
      </w:pPr>
      <w:r>
        <w:rPr>
          <w:color w:val="000000"/>
        </w:rPr>
        <w:t>1. Niektóre określone rodzaje odpadów przestają być odpadami w rozumieniu art. 3 pkt 1, gdy zostały poddane procesowi odzysku, w tym recyklingu, i spełniają ścisłe kryteria, opracowane zgodnie z następującymi warunkami:</w:t>
      </w:r>
    </w:p>
    <w:p w:rsidR="00B1146D" w:rsidRDefault="00717A52">
      <w:pPr>
        <w:spacing w:after="0"/>
        <w:ind w:left="373"/>
      </w:pPr>
      <w:r>
        <w:rPr>
          <w:color w:val="000000"/>
        </w:rPr>
        <w:t>a) dana</w:t>
      </w:r>
      <w:r>
        <w:rPr>
          <w:color w:val="000000"/>
        </w:rPr>
        <w:t xml:space="preserve"> substancja lub przedmiot jest powszechnie stosowana do konkretnych celów;</w:t>
      </w:r>
    </w:p>
    <w:p w:rsidR="00B1146D" w:rsidRDefault="00717A52">
      <w:pPr>
        <w:spacing w:after="0"/>
        <w:ind w:left="373"/>
      </w:pPr>
      <w:r>
        <w:rPr>
          <w:color w:val="000000"/>
        </w:rPr>
        <w:t>b) istnieje rynek takich substancji lub przedmiotów bądź popyt na nie;</w:t>
      </w:r>
    </w:p>
    <w:p w:rsidR="00B1146D" w:rsidRDefault="00717A52">
      <w:pPr>
        <w:spacing w:after="0"/>
        <w:ind w:left="373"/>
      </w:pPr>
      <w:r>
        <w:rPr>
          <w:color w:val="000000"/>
        </w:rPr>
        <w:t>c) dana substancja lub przedmiot spełniają wymagania techniczne dla konkretnych celów oraz wymagania obowiązuj</w:t>
      </w:r>
      <w:r>
        <w:rPr>
          <w:color w:val="000000"/>
        </w:rPr>
        <w:t>ących przepisów i norm mających zastosowanie do produktów; oraz</w:t>
      </w:r>
    </w:p>
    <w:p w:rsidR="00B1146D" w:rsidRDefault="00717A52">
      <w:pPr>
        <w:spacing w:after="0"/>
        <w:ind w:left="373"/>
      </w:pPr>
      <w:r>
        <w:rPr>
          <w:color w:val="000000"/>
        </w:rPr>
        <w:t>d) zastosowanie danej substancji lub przedmiotu nie prowadzi do ogólnych niekorzystnych skutków dla środowiska lub zdrowia ludzkiego;</w:t>
      </w:r>
    </w:p>
    <w:p w:rsidR="00B1146D" w:rsidRDefault="00717A52">
      <w:pPr>
        <w:spacing w:before="25" w:after="0"/>
        <w:ind w:left="373"/>
        <w:jc w:val="both"/>
      </w:pPr>
      <w:r>
        <w:rPr>
          <w:color w:val="000000"/>
        </w:rPr>
        <w:t xml:space="preserve">W koniecznych przypadkach kryteria obejmują wartości </w:t>
      </w:r>
      <w:r>
        <w:rPr>
          <w:color w:val="000000"/>
        </w:rPr>
        <w:t>dopuszczalne zanieczyszczeń i uwzględniają jakiekolwiek potencjalne niekorzystne oddziaływanie substancji lub przedmiotu na środowisko naturalne.</w:t>
      </w:r>
    </w:p>
    <w:p w:rsidR="00B1146D" w:rsidRDefault="00717A52">
      <w:pPr>
        <w:spacing w:before="26" w:after="0"/>
      </w:pPr>
      <w:r>
        <w:rPr>
          <w:color w:val="000000"/>
        </w:rPr>
        <w:t>2. Środki mające na celu zmianę elementów innych niż istotne niniejszej dyrektywy poprzez jej uzupełnienie, od</w:t>
      </w:r>
      <w:r>
        <w:rPr>
          <w:color w:val="000000"/>
        </w:rPr>
        <w:t xml:space="preserve">noszące się do przyjęcia kryteriów określonych w ust. 1 i wyszczególniające rodzaje odpadów, do których kryteria te są stosowane, są przyjmowane zgodnie z procedurą regulacyjną połączoną z kontrolą, o której mowa w art. 39 ust. 2. Należy uwzględnić między </w:t>
      </w:r>
      <w:r>
        <w:rPr>
          <w:color w:val="000000"/>
        </w:rPr>
        <w:t>innymi szczegółowe kryteria określające zniesienie statusu odpadu, co najmniej w odniesieniu do kruszyw, papieru, szkła, metalu, opon i tekstyliów.</w:t>
      </w:r>
    </w:p>
    <w:p w:rsidR="00B1146D" w:rsidRDefault="00717A52">
      <w:pPr>
        <w:spacing w:before="26" w:after="0"/>
      </w:pPr>
      <w:r>
        <w:rPr>
          <w:color w:val="000000"/>
        </w:rPr>
        <w:t>3. Odpady, które przestają być odpadami zgodnie z ust. 1 i 2, nie są też odpadami na potrzeby obliczenia poz</w:t>
      </w:r>
      <w:r>
        <w:rPr>
          <w:color w:val="000000"/>
        </w:rPr>
        <w:t xml:space="preserve">iomów odzysku i recyklingu określonych w dyrektywach </w:t>
      </w:r>
      <w:r>
        <w:rPr>
          <w:color w:val="1B1B1B"/>
        </w:rPr>
        <w:t>94/62/WE</w:t>
      </w:r>
      <w:r>
        <w:rPr>
          <w:color w:val="000000"/>
        </w:rPr>
        <w:t xml:space="preserve">, </w:t>
      </w:r>
      <w:r>
        <w:rPr>
          <w:color w:val="1B1B1B"/>
        </w:rPr>
        <w:t>2000/53/WE</w:t>
      </w:r>
      <w:r>
        <w:rPr>
          <w:color w:val="000000"/>
        </w:rPr>
        <w:t xml:space="preserve">, </w:t>
      </w:r>
      <w:r>
        <w:rPr>
          <w:color w:val="1B1B1B"/>
        </w:rPr>
        <w:t>2002/96/WE</w:t>
      </w:r>
      <w:r>
        <w:rPr>
          <w:color w:val="000000"/>
        </w:rPr>
        <w:t xml:space="preserve"> i </w:t>
      </w:r>
      <w:r>
        <w:rPr>
          <w:color w:val="1B1B1B"/>
        </w:rPr>
        <w:t>2006/66/WE</w:t>
      </w:r>
      <w:r>
        <w:rPr>
          <w:color w:val="000000"/>
        </w:rPr>
        <w:t xml:space="preserve"> oraz innych odnośnych wspólnotowych przepisach prawnych, jeżeli spełnione zostały wymogi w zakresie recyklingu lub odzysku ustanowione w tych przepisach.</w:t>
      </w:r>
    </w:p>
    <w:p w:rsidR="00B1146D" w:rsidRDefault="00717A52">
      <w:pPr>
        <w:spacing w:before="26" w:after="0"/>
      </w:pPr>
      <w:r>
        <w:rPr>
          <w:color w:val="000000"/>
        </w:rPr>
        <w:t xml:space="preserve">4. </w:t>
      </w:r>
      <w:r>
        <w:rPr>
          <w:color w:val="000000"/>
        </w:rPr>
        <w:t>W przypadkach gdy nie ustalono kryteriów na szczeblu wspólnotowym w ramach procedury, o której mowa w ust. 1, państwa członkowskie mogą decydować odrębnie w każdym przypadku, czy dany odpad przestał być odpadem, z uwzględnieniem odnośnego orzecznictwa. O d</w:t>
      </w:r>
      <w:r>
        <w:rPr>
          <w:color w:val="000000"/>
        </w:rPr>
        <w:t xml:space="preserve">ecyzjach takich zawiadamiają Komisję zgodnie z </w:t>
      </w:r>
      <w:r>
        <w:rPr>
          <w:color w:val="1B1B1B"/>
        </w:rPr>
        <w:t>dyrektywą</w:t>
      </w:r>
      <w:r>
        <w:rPr>
          <w:color w:val="000000"/>
        </w:rPr>
        <w:t xml:space="preserve"> 98/34/WE Parlamentu Europejskiego i Rady z dnia 22 czerwca 1998 r. ustanawiającą procedurę udzielania informacji w dziedzinie norm i przepisów technicznych oraz zasad dotyczących usług społeczeństwa </w:t>
      </w:r>
      <w:r>
        <w:rPr>
          <w:color w:val="000000"/>
        </w:rPr>
        <w:t xml:space="preserve">informacyjnego </w:t>
      </w:r>
      <w:r>
        <w:rPr>
          <w:color w:val="000000"/>
          <w:vertAlign w:val="superscript"/>
        </w:rPr>
        <w:t>25</w:t>
      </w:r>
      <w:r>
        <w:rPr>
          <w:color w:val="000000"/>
        </w:rPr>
        <w:t xml:space="preserve"> , w przypadkach, gdy ta </w:t>
      </w:r>
      <w:r>
        <w:rPr>
          <w:color w:val="1B1B1B"/>
        </w:rPr>
        <w:t>dyrektywa</w:t>
      </w:r>
      <w:r>
        <w:rPr>
          <w:color w:val="000000"/>
        </w:rPr>
        <w:t xml:space="preserve"> tego wymaga.</w:t>
      </w:r>
    </w:p>
    <w:p w:rsidR="00B1146D" w:rsidRDefault="00B1146D">
      <w:pPr>
        <w:spacing w:before="80" w:after="0"/>
      </w:pPr>
    </w:p>
    <w:p w:rsidR="00B1146D" w:rsidRDefault="00717A52">
      <w:pPr>
        <w:spacing w:after="0"/>
      </w:pPr>
      <w:r>
        <w:rPr>
          <w:b/>
          <w:color w:val="000000"/>
        </w:rPr>
        <w:t xml:space="preserve">Artykuł  7 </w:t>
      </w:r>
    </w:p>
    <w:p w:rsidR="00B1146D" w:rsidRDefault="00717A52">
      <w:pPr>
        <w:spacing w:after="0"/>
      </w:pPr>
      <w:r>
        <w:rPr>
          <w:b/>
          <w:color w:val="000000"/>
        </w:rPr>
        <w:t>Wykaz odpadów</w:t>
      </w:r>
    </w:p>
    <w:p w:rsidR="00B1146D" w:rsidRDefault="00717A52">
      <w:pPr>
        <w:spacing w:before="26" w:after="0"/>
      </w:pPr>
      <w:r>
        <w:rPr>
          <w:color w:val="000000"/>
        </w:rPr>
        <w:t xml:space="preserve">1. Środki mające na celu zmianę elementów innych niż istotne niniejszej dyrektywy, dotyczące aktualizowania wykazu odpadów ustanowionego </w:t>
      </w:r>
      <w:r>
        <w:rPr>
          <w:color w:val="1B1B1B"/>
        </w:rPr>
        <w:t>decyzją</w:t>
      </w:r>
      <w:r>
        <w:rPr>
          <w:color w:val="000000"/>
        </w:rPr>
        <w:t xml:space="preserve"> 2000/532/WE, są przyjmowane zgodnie z procedurą regulacyjną połączoną z kontrolą, o której mowa w art. 39 ust. 2. Wykaz ten powinien obejmować odpady niebezpieczne i uwzględniać pochodzenie i skład odpadów oraz, w razie potrzeby, wartości dopuszczalne stę</w:t>
      </w:r>
      <w:r>
        <w:rPr>
          <w:color w:val="000000"/>
        </w:rPr>
        <w:t>żeń substancji niebezpiecznych. Wykaz odpadów jest wiążący w zakresie określenia odpadów, które mają być uznane za odpady niebezpieczne. Włączenie danej substancji lub przedmiotu do wykazu nie oznacza, że stanowią one odpad we wszystkich okolicznościach. S</w:t>
      </w:r>
      <w:r>
        <w:rPr>
          <w:color w:val="000000"/>
        </w:rPr>
        <w:t>ubstancja lub przedmiot są uznawane za odpad jedynie po spełnieniu warunków definicji zawartej w art. 3 pkt 1.</w:t>
      </w:r>
    </w:p>
    <w:p w:rsidR="00B1146D" w:rsidRDefault="00717A52">
      <w:pPr>
        <w:spacing w:before="26" w:after="0"/>
      </w:pPr>
      <w:r>
        <w:rPr>
          <w:color w:val="000000"/>
        </w:rPr>
        <w:t>2. Państwo członkowskie może uznać dane odpady za odpady niebezpieczne, nawet jeśli nie zostały umieszczone w wykazie odpadów, w przypadku, gdy w</w:t>
      </w:r>
      <w:r>
        <w:rPr>
          <w:color w:val="000000"/>
        </w:rPr>
        <w:t>ykazują co najmniej jedną z właściwości wymienionych w załączniku III. Państwo członkowskie zawiadamia niezwłocznie o wszystkich takich przypadkach Komisję. Rejestruje je w sprawozdaniu przewidzianym w art. 37 ust. 1 i dostarcza Komisji wszelkich stosownyc</w:t>
      </w:r>
      <w:r>
        <w:rPr>
          <w:color w:val="000000"/>
        </w:rPr>
        <w:t>h informacji. W świetle otrzymanych zawiadomień wykaz zostaje poddany przeglądowi w celu podjęcia decyzji dotyczącej jego dostosowania.</w:t>
      </w:r>
    </w:p>
    <w:p w:rsidR="00B1146D" w:rsidRDefault="00717A52">
      <w:pPr>
        <w:spacing w:before="26" w:after="0"/>
      </w:pPr>
      <w:r>
        <w:rPr>
          <w:color w:val="000000"/>
        </w:rPr>
        <w:t xml:space="preserve">3. W przypadku gdy państwo członkowskie ma dowody wskazujące, że konkretny rodzaj odpadów, który znajduje się w wykazie </w:t>
      </w:r>
      <w:r>
        <w:rPr>
          <w:color w:val="000000"/>
        </w:rPr>
        <w:t>w kategorii odpadów niebezpiecznych, nie wykazuje żadnej z właściwości wymienionych w załączniku III, może ono uznać te odpady za odpady inne niż niebezpieczne. Państwo członkowskie zawiadamia niezwłocznie o wszystkich takich przypadkach Komisję i dostarcz</w:t>
      </w:r>
      <w:r>
        <w:rPr>
          <w:color w:val="000000"/>
        </w:rPr>
        <w:t>a jej wszelkich stosownych informacji W świetle otrzymanych zawiadomień wykaz zostaje poddany przeglądowi w celu podjęcia decyzji dotyczącej jego dostosowania.</w:t>
      </w:r>
    </w:p>
    <w:p w:rsidR="00B1146D" w:rsidRDefault="00717A52">
      <w:pPr>
        <w:spacing w:before="26" w:after="0"/>
      </w:pPr>
      <w:r>
        <w:rPr>
          <w:color w:val="000000"/>
        </w:rPr>
        <w:t>4. Zmiany klasyfikacji odpadów niebezpiecznych na odpady inne niż niebezpieczne nie można osiągn</w:t>
      </w:r>
      <w:r>
        <w:rPr>
          <w:color w:val="000000"/>
        </w:rPr>
        <w:t>ąć w wyniku rozcieńczania lub mieszania odpadu celem obniżenia początkowego stężenia substancji niebezpiecznych do poziomu niższego od określającego niebezpieczny charakter odpadu.</w:t>
      </w:r>
    </w:p>
    <w:p w:rsidR="00B1146D" w:rsidRDefault="00717A52">
      <w:pPr>
        <w:spacing w:before="26" w:after="0"/>
      </w:pPr>
      <w:r>
        <w:rPr>
          <w:color w:val="000000"/>
        </w:rPr>
        <w:t>5. Środki mające na celu zmianę elementów innych niż istotne niniejszej dyr</w:t>
      </w:r>
      <w:r>
        <w:rPr>
          <w:color w:val="000000"/>
        </w:rPr>
        <w:t>ektywy odnoszące się do przeglądu wykazu w celu podjęcia decyzji dotyczącej jego dostosowania zgodnie z ust. 2 i 3, są przyjmowane zgodnie z procedurą regulacyjną połączoną z kontrolą, o której mowa w art. 39 ust. 2.</w:t>
      </w:r>
    </w:p>
    <w:p w:rsidR="00B1146D" w:rsidRDefault="00717A52">
      <w:pPr>
        <w:spacing w:before="26" w:after="0"/>
      </w:pPr>
      <w:r>
        <w:rPr>
          <w:color w:val="000000"/>
        </w:rPr>
        <w:t>6. Państwa członkowskie mogą uznać odpa</w:t>
      </w:r>
      <w:r>
        <w:rPr>
          <w:color w:val="000000"/>
        </w:rPr>
        <w:t>d za odpad inny niż niebezpieczny zgodnie z wykazem odpadów, o którym mowa w ust. 1.</w:t>
      </w:r>
    </w:p>
    <w:p w:rsidR="00B1146D" w:rsidRDefault="00717A52">
      <w:pPr>
        <w:spacing w:before="26" w:after="0"/>
      </w:pPr>
      <w:r>
        <w:rPr>
          <w:color w:val="000000"/>
        </w:rPr>
        <w:t>7. Komisja zapewnia zgodność wykazu odpadów i, odpowiednio, wszelkich przeglądów tego wykazu z zasadami przejrzystości, zrozumiałości i dostępności dla użytkowników, szcze</w:t>
      </w:r>
      <w:r>
        <w:rPr>
          <w:color w:val="000000"/>
        </w:rPr>
        <w:t>gólnie dla małych i średnich przedsiębiorstw (MŚP).</w:t>
      </w:r>
    </w:p>
    <w:p w:rsidR="00B1146D" w:rsidRDefault="00B1146D">
      <w:pPr>
        <w:spacing w:after="0"/>
      </w:pPr>
    </w:p>
    <w:p w:rsidR="00B1146D" w:rsidRDefault="00717A52">
      <w:pPr>
        <w:spacing w:before="146" w:after="0"/>
        <w:jc w:val="center"/>
      </w:pPr>
      <w:r>
        <w:rPr>
          <w:b/>
          <w:color w:val="000000"/>
        </w:rPr>
        <w:t xml:space="preserve">ROZDZIAŁ  II </w:t>
      </w:r>
    </w:p>
    <w:p w:rsidR="00B1146D" w:rsidRDefault="00717A52">
      <w:pPr>
        <w:spacing w:before="25" w:after="0"/>
        <w:jc w:val="center"/>
      </w:pPr>
      <w:r>
        <w:rPr>
          <w:b/>
          <w:color w:val="000000"/>
        </w:rPr>
        <w:t>WYMAGANIA OGÓLNE</w:t>
      </w:r>
    </w:p>
    <w:p w:rsidR="00B1146D" w:rsidRDefault="00B1146D">
      <w:pPr>
        <w:spacing w:before="80" w:after="0"/>
      </w:pPr>
    </w:p>
    <w:p w:rsidR="00B1146D" w:rsidRDefault="00717A52">
      <w:pPr>
        <w:spacing w:after="0"/>
      </w:pPr>
      <w:r>
        <w:rPr>
          <w:b/>
          <w:color w:val="000000"/>
        </w:rPr>
        <w:t xml:space="preserve">Artykuł  8 </w:t>
      </w:r>
    </w:p>
    <w:p w:rsidR="00B1146D" w:rsidRDefault="00717A52">
      <w:pPr>
        <w:spacing w:after="0"/>
      </w:pPr>
      <w:r>
        <w:rPr>
          <w:b/>
          <w:color w:val="000000"/>
        </w:rPr>
        <w:t>Rozszerzona odpowiedzialność producenta</w:t>
      </w:r>
    </w:p>
    <w:p w:rsidR="00B1146D" w:rsidRDefault="00717A52">
      <w:pPr>
        <w:spacing w:before="26" w:after="0"/>
      </w:pPr>
      <w:r>
        <w:rPr>
          <w:color w:val="000000"/>
        </w:rPr>
        <w:t>1. W celu wzmocnienia działań w zakresie ponownego wykorzystania odpadów i zapobiegania ich powstawaniu, recyklingu ora</w:t>
      </w:r>
      <w:r>
        <w:rPr>
          <w:color w:val="000000"/>
        </w:rPr>
        <w:t>z innych form odzysku państwa członkowskie mogą podjąć środki prawodawcze lub inne niż prawodawcze w celu zapewnienia, aby każda osoba fizyczna lub prawna, która zawodowo opracowuje, wytwarza, przetwarza, obrabia, sprzedaje lub wwozi produkty (producent pr</w:t>
      </w:r>
      <w:r>
        <w:rPr>
          <w:color w:val="000000"/>
        </w:rPr>
        <w:t>oduktu) ponosiła rozszerzoną odpowiedzialność producenta.</w:t>
      </w:r>
    </w:p>
    <w:p w:rsidR="00B1146D" w:rsidRDefault="00717A52">
      <w:pPr>
        <w:spacing w:before="25" w:after="0"/>
        <w:jc w:val="both"/>
      </w:pPr>
      <w:r>
        <w:rPr>
          <w:color w:val="000000"/>
        </w:rPr>
        <w:t>Środki takie mogą obejmować przyjmowanie zwracanych produktów i odpadów pozostających po wykorzystaniu tych produktów, a także późniejsze gospodarowanie tymi odpadami i odpowiedzialność finansową za</w:t>
      </w:r>
      <w:r>
        <w:rPr>
          <w:color w:val="000000"/>
        </w:rPr>
        <w:t xml:space="preserve"> te działania. Środki te mogą obejmować obowiązek podawania do wiadomości publicznej informacji o stopniu, w jakim można ponownie wykorzystać i przetworzyć dany produkt.</w:t>
      </w:r>
    </w:p>
    <w:p w:rsidR="00B1146D" w:rsidRDefault="00717A52">
      <w:pPr>
        <w:spacing w:before="26" w:after="0"/>
      </w:pPr>
      <w:r>
        <w:rPr>
          <w:color w:val="000000"/>
        </w:rPr>
        <w:t>2. Państwa członkowskie mogą zastosować odpowiednie środki zachęcające do takiego proj</w:t>
      </w:r>
      <w:r>
        <w:rPr>
          <w:color w:val="000000"/>
        </w:rPr>
        <w:t xml:space="preserve">ektowania produktów, aby zmniejszyć ich oddziaływanie na środowisko i wytwarzanie odpadów podczas produkcji i następującego po niej użytkowania produktów, i aby zagwarantować, aby odzysk i unieszkodliwianie produktów, które stały się odpadami, odbywał się </w:t>
      </w:r>
      <w:r>
        <w:rPr>
          <w:color w:val="000000"/>
        </w:rPr>
        <w:t>zgodnie z art. 4 i 13.</w:t>
      </w:r>
    </w:p>
    <w:p w:rsidR="00B1146D" w:rsidRDefault="00717A52">
      <w:pPr>
        <w:spacing w:before="25" w:after="0"/>
        <w:jc w:val="both"/>
      </w:pPr>
      <w:r>
        <w:rPr>
          <w:color w:val="000000"/>
        </w:rPr>
        <w:t>Środki takie mogą zachęcać między innymi do opracowywania, produkcji i sprzedaży produktów, umożliwiających ich wielokrotne użycie, które są technicznie trwałe i które, po tym jak staną się odpadami będą nadawać się do właściwego i b</w:t>
      </w:r>
      <w:r>
        <w:rPr>
          <w:color w:val="000000"/>
        </w:rPr>
        <w:t>ezpiecznego odzysku oraz zgodnego z wymogami środowiska unieszkodliwiania.</w:t>
      </w:r>
    </w:p>
    <w:p w:rsidR="00B1146D" w:rsidRDefault="00717A52">
      <w:pPr>
        <w:spacing w:before="26" w:after="0"/>
      </w:pPr>
      <w:r>
        <w:rPr>
          <w:color w:val="000000"/>
        </w:rPr>
        <w:t>3. Przy stosowaniu rozszerzonej odpowiedzialności producenta państwa członkowskie biorą pod uwagę wykonalność techniczną i opłacalność ekonomiczną, a także ogólne oddziaływanie na ś</w:t>
      </w:r>
      <w:r>
        <w:rPr>
          <w:color w:val="000000"/>
        </w:rPr>
        <w:t>rodowisko, zdrowie ludzkiego i aspekty społeczne, z poszanowaniem potrzeby zagwarantowania właściwego funkcjonowania rynku wewnętrznego.</w:t>
      </w:r>
    </w:p>
    <w:p w:rsidR="00B1146D" w:rsidRDefault="00717A52">
      <w:pPr>
        <w:spacing w:before="26" w:after="0"/>
      </w:pPr>
      <w:r>
        <w:rPr>
          <w:color w:val="000000"/>
        </w:rPr>
        <w:t>4. Rozszerzona odpowiedzialność producenta stosowana jest bez uszczerbku dla odpowiedzialności za gospodarowanie odpada</w:t>
      </w:r>
      <w:r>
        <w:rPr>
          <w:color w:val="000000"/>
        </w:rPr>
        <w:t>mi, o której mowa w art. 15 ust. 1, oraz bez uszczerbku dla obowiązujących szczególnych przepisów dotyczących strumieni odpadów i produktów.</w:t>
      </w:r>
    </w:p>
    <w:p w:rsidR="00B1146D" w:rsidRDefault="00B1146D">
      <w:pPr>
        <w:spacing w:before="80" w:after="0"/>
      </w:pPr>
    </w:p>
    <w:p w:rsidR="00B1146D" w:rsidRDefault="00717A52">
      <w:pPr>
        <w:spacing w:after="0"/>
      </w:pPr>
      <w:r>
        <w:rPr>
          <w:b/>
          <w:color w:val="000000"/>
        </w:rPr>
        <w:t xml:space="preserve">Artykuł  9 </w:t>
      </w:r>
    </w:p>
    <w:p w:rsidR="00B1146D" w:rsidRDefault="00717A52">
      <w:pPr>
        <w:spacing w:after="0"/>
      </w:pPr>
      <w:r>
        <w:rPr>
          <w:b/>
          <w:color w:val="000000"/>
        </w:rPr>
        <w:t>Zapobieganie powstawaniu odpadów</w:t>
      </w:r>
    </w:p>
    <w:p w:rsidR="00B1146D" w:rsidRDefault="00717A52">
      <w:pPr>
        <w:spacing w:before="25" w:after="0"/>
        <w:jc w:val="both"/>
      </w:pPr>
      <w:r>
        <w:rPr>
          <w:color w:val="000000"/>
        </w:rPr>
        <w:t>Po konsultacjach z zainteresowanymi stronami Komisja przedkłada Parla</w:t>
      </w:r>
      <w:r>
        <w:rPr>
          <w:color w:val="000000"/>
        </w:rPr>
        <w:t xml:space="preserve">mentowi Europejskiemu i Radzie następujące sprawozdania - w stosownych przypadkach wraz z załączonymi do nich propozycjami środków wymaganych w celu wsparcia działań zapobiegawczych oraz wdrożenia programów zapobiegania powstawaniu odpadów, o których mowa </w:t>
      </w:r>
      <w:r>
        <w:rPr>
          <w:color w:val="000000"/>
        </w:rPr>
        <w:t>w art. 29 - które obejmują:</w:t>
      </w:r>
    </w:p>
    <w:p w:rsidR="00B1146D" w:rsidRDefault="00717A52">
      <w:pPr>
        <w:spacing w:after="0"/>
        <w:ind w:left="373"/>
      </w:pPr>
      <w:r>
        <w:rPr>
          <w:color w:val="000000"/>
        </w:rPr>
        <w:t>a) do końca 2011 r. sprawozdanie tymczasowe w sprawie cyklu wytwarzania odpadów oraz zakresu zapobiegania ich powstawaniu, w tym opracowanie polityki eko-projektu produktu odnoszącej się zarówno do wytwarzania odpadów, jak i obe</w:t>
      </w:r>
      <w:r>
        <w:rPr>
          <w:color w:val="000000"/>
        </w:rPr>
        <w:t>cności substancji niebezpiecznych w odpadach, promującej technologie pozwalające na uzyskanie trwałych, zdatnych do ponownego wykorzystania i recyklingu produktów;</w:t>
      </w:r>
    </w:p>
    <w:p w:rsidR="00B1146D" w:rsidRDefault="00717A52">
      <w:pPr>
        <w:spacing w:after="0"/>
        <w:ind w:left="373"/>
      </w:pPr>
      <w:r>
        <w:rPr>
          <w:color w:val="000000"/>
        </w:rPr>
        <w:t xml:space="preserve">b) do końca 2011 r. opracowanie planu działania na rzecz dalszych środków wspomagających na </w:t>
      </w:r>
      <w:r>
        <w:rPr>
          <w:color w:val="000000"/>
        </w:rPr>
        <w:t>szczeblu europejskim, a w szczególności środków mających na celu zmianę obecnego stylu konsumpcji;</w:t>
      </w:r>
    </w:p>
    <w:p w:rsidR="00B1146D" w:rsidRDefault="00717A52">
      <w:pPr>
        <w:spacing w:after="0"/>
        <w:ind w:left="373"/>
      </w:pPr>
      <w:r>
        <w:rPr>
          <w:color w:val="000000"/>
        </w:rPr>
        <w:t>c) do końca 2014 r. ustanowienie celów na rok 2020 w zakresie zapobiegania powstawaniu odpadów i segregowania ich, w oparciu o najlepsze dostępne wzorce, w t</w:t>
      </w:r>
      <w:r>
        <w:rPr>
          <w:color w:val="000000"/>
        </w:rPr>
        <w:t>ym w razie konieczności zmianę wskaźników, o których mowa w art. 29 ust. 4.</w:t>
      </w:r>
    </w:p>
    <w:p w:rsidR="00B1146D" w:rsidRDefault="00B1146D">
      <w:pPr>
        <w:spacing w:before="80" w:after="0"/>
      </w:pPr>
    </w:p>
    <w:p w:rsidR="00B1146D" w:rsidRDefault="00717A52">
      <w:pPr>
        <w:spacing w:after="0"/>
      </w:pPr>
      <w:r>
        <w:rPr>
          <w:b/>
          <w:color w:val="000000"/>
        </w:rPr>
        <w:t xml:space="preserve">Artykuł  10 </w:t>
      </w:r>
    </w:p>
    <w:p w:rsidR="00B1146D" w:rsidRDefault="00717A52">
      <w:pPr>
        <w:spacing w:after="0"/>
      </w:pPr>
      <w:r>
        <w:rPr>
          <w:b/>
          <w:color w:val="000000"/>
        </w:rPr>
        <w:t>Odzysk</w:t>
      </w:r>
    </w:p>
    <w:p w:rsidR="00B1146D" w:rsidRDefault="00717A52">
      <w:pPr>
        <w:spacing w:before="26" w:after="0"/>
      </w:pPr>
      <w:r>
        <w:rPr>
          <w:color w:val="000000"/>
        </w:rPr>
        <w:t>1. Państwa członkowskie stosują niezbędne środki, aby zapewnić poddawanie wszystkich odpadów procesom odzysku zgodnie z art. 4 i 13.</w:t>
      </w:r>
    </w:p>
    <w:p w:rsidR="00B1146D" w:rsidRDefault="00717A52">
      <w:pPr>
        <w:spacing w:before="26" w:after="0"/>
      </w:pPr>
      <w:r>
        <w:rPr>
          <w:color w:val="000000"/>
        </w:rPr>
        <w:t xml:space="preserve">2. W przypadkach gdy jest </w:t>
      </w:r>
      <w:r>
        <w:rPr>
          <w:color w:val="000000"/>
        </w:rPr>
        <w:t>to konieczne, aby uzyskać zgodność z ust. 1 oraz aby ułatwić lub usprawnić odzysk, odpady powinny być zbierane oddzielnie, jeżeli jest to wykonalne z punktu widzenia technicznego, ekonomicznego i środowiskowego, i nie powinny być mieszane z innymi odpadami</w:t>
      </w:r>
      <w:r>
        <w:rPr>
          <w:color w:val="000000"/>
        </w:rPr>
        <w:t xml:space="preserve"> lub innymi materiałami o odmiennych właściwościach.</w:t>
      </w:r>
    </w:p>
    <w:p w:rsidR="00B1146D" w:rsidRDefault="00B1146D">
      <w:pPr>
        <w:spacing w:before="80" w:after="0"/>
      </w:pPr>
    </w:p>
    <w:p w:rsidR="00B1146D" w:rsidRDefault="00717A52">
      <w:pPr>
        <w:spacing w:after="0"/>
      </w:pPr>
      <w:r>
        <w:rPr>
          <w:b/>
          <w:color w:val="000000"/>
        </w:rPr>
        <w:t xml:space="preserve">Artykuł  11 </w:t>
      </w:r>
    </w:p>
    <w:p w:rsidR="00B1146D" w:rsidRDefault="00717A52">
      <w:pPr>
        <w:spacing w:after="0"/>
      </w:pPr>
      <w:r>
        <w:rPr>
          <w:b/>
          <w:color w:val="000000"/>
        </w:rPr>
        <w:t>Ponowne wykorzystanie i recykling</w:t>
      </w:r>
    </w:p>
    <w:p w:rsidR="00B1146D" w:rsidRDefault="00717A52">
      <w:pPr>
        <w:spacing w:before="26" w:after="0"/>
      </w:pPr>
      <w:r>
        <w:rPr>
          <w:color w:val="000000"/>
        </w:rPr>
        <w:t>1. Państwa członkowskie podejmują odpowiednie środki w celu wspierania ponownego wykorzystania produktów i przygotowania do działań związanych z ponownym w</w:t>
      </w:r>
      <w:r>
        <w:rPr>
          <w:color w:val="000000"/>
        </w:rPr>
        <w:t>ykorzystaniem, zwłaszcza poprzez zachęcanie do tworzenia i wspieranie sieci ponownego wykorzystania i napraw, wykorzystanie instrumentów ekonomicznych, kryteriów udzielania zamówień, celów ilościowych lub inne środki.</w:t>
      </w:r>
    </w:p>
    <w:p w:rsidR="00B1146D" w:rsidRDefault="00717A52">
      <w:pPr>
        <w:spacing w:before="25" w:after="0"/>
        <w:jc w:val="both"/>
      </w:pPr>
      <w:r>
        <w:rPr>
          <w:color w:val="000000"/>
        </w:rPr>
        <w:t xml:space="preserve">Państwa członkowskie podejmują środki </w:t>
      </w:r>
      <w:r>
        <w:rPr>
          <w:color w:val="000000"/>
        </w:rPr>
        <w:t>na rzecz promowania wysokiej jakości recyklingu i wszędzie tam, gdzie jest to stosowne i możliwe z technicznego, środowiskowego i gospodarczego punktu widzenia, przyjmują w tym celu systemy selektywnej zbiórki, tak aby spełnić niezbędne normy jakości dla w</w:t>
      </w:r>
      <w:r>
        <w:rPr>
          <w:color w:val="000000"/>
        </w:rPr>
        <w:t>łaściwych sektorów recyklingu.</w:t>
      </w:r>
    </w:p>
    <w:p w:rsidR="00B1146D" w:rsidRDefault="00717A52">
      <w:pPr>
        <w:spacing w:before="25" w:after="0"/>
        <w:jc w:val="both"/>
      </w:pPr>
      <w:r>
        <w:rPr>
          <w:color w:val="000000"/>
        </w:rPr>
        <w:t>Z zastrzeżeniem art. 10 ust. 2, do roku 2015 selektywna zbiórka odpadów będzie obowiązywać przynajmniej w odniesieniu do: papieru, metalu, plastiku i szkła.</w:t>
      </w:r>
    </w:p>
    <w:p w:rsidR="00B1146D" w:rsidRDefault="00717A52">
      <w:pPr>
        <w:spacing w:before="26" w:after="0"/>
      </w:pPr>
      <w:r>
        <w:rPr>
          <w:color w:val="000000"/>
        </w:rPr>
        <w:t xml:space="preserve">2. Aby dostosować się do celów niniejszej dyrektywy oraz przybliżyć </w:t>
      </w:r>
      <w:r>
        <w:rPr>
          <w:color w:val="000000"/>
        </w:rPr>
        <w:t>do celu, jakim jest europejskie społeczeństwo recyklingu o wysokiej wydajności zasobów, państwa członkowskie przyjmują wszelkie niezbędne środki służące realizacji następujących celów:</w:t>
      </w:r>
    </w:p>
    <w:p w:rsidR="00B1146D" w:rsidRDefault="00717A52">
      <w:pPr>
        <w:spacing w:after="0"/>
        <w:ind w:left="373"/>
      </w:pPr>
      <w:r>
        <w:rPr>
          <w:color w:val="000000"/>
        </w:rPr>
        <w:t>a) do 2020 roku przygotowanie do ponownego wykorzystania i recyklingu m</w:t>
      </w:r>
      <w:r>
        <w:rPr>
          <w:color w:val="000000"/>
        </w:rPr>
        <w:t xml:space="preserve">ateriałów odpadowych, przynajmniej takich jak papier, metal, plastik i szkło z gospodarstw domowych i w miarę możliwości innego pochodzenia, pod warunkiem że te strumienie odpadów są podobne do odpadów z gospodarstw domowych, zostanie zwiększone wagowo do </w:t>
      </w:r>
      <w:r>
        <w:rPr>
          <w:color w:val="000000"/>
        </w:rPr>
        <w:t>minimum 50 %;</w:t>
      </w:r>
    </w:p>
    <w:p w:rsidR="00B1146D" w:rsidRDefault="00717A52">
      <w:pPr>
        <w:spacing w:after="0"/>
        <w:ind w:left="373"/>
      </w:pPr>
      <w:r>
        <w:rPr>
          <w:color w:val="000000"/>
        </w:rPr>
        <w:t xml:space="preserve">b) do 2020 r. przygotowanie do ponownego wykorzystania, recyklingu i innych sposobów odzyskiwania materiałów, w tym wypełniania wyrobisk, gdzie odpady zastępują inne materiały, w odniesieniu do innych niż niebezpieczne odpadów budowlanych i </w:t>
      </w:r>
      <w:r>
        <w:rPr>
          <w:color w:val="000000"/>
        </w:rPr>
        <w:t>rozbiórkowych, z wyjątkiem materiału występującego w stanie naturalnym zgodnie z definicją zawartą w kategorii 17 05 04 Europejskiego katalogu odpadów, zostanie zwiększone wagowo do minimum 70 %.</w:t>
      </w:r>
    </w:p>
    <w:p w:rsidR="00B1146D" w:rsidRDefault="00717A52">
      <w:pPr>
        <w:spacing w:before="26" w:after="0"/>
      </w:pPr>
      <w:r>
        <w:rPr>
          <w:color w:val="000000"/>
        </w:rPr>
        <w:t>3. Komisja ustanowi szczegółowe przepisy dotyczące stosowani</w:t>
      </w:r>
      <w:r>
        <w:rPr>
          <w:color w:val="000000"/>
        </w:rPr>
        <w:t xml:space="preserve">a i metod obliczeń w odniesieniu do weryfikacji zgodności z celami określonymi w ust. 2 niniejszego artykułu, z uwzględnieniem </w:t>
      </w:r>
      <w:r>
        <w:rPr>
          <w:color w:val="1B1B1B"/>
        </w:rPr>
        <w:t>rozporządzenia</w:t>
      </w:r>
      <w:r>
        <w:rPr>
          <w:color w:val="000000"/>
        </w:rPr>
        <w:t xml:space="preserve"> (WE) nr 2150/2002 Parlamentu Europejskiego i Rady z dnia 25 listopada 2002 r. w sprawie statystyk odpadów </w:t>
      </w:r>
      <w:r>
        <w:rPr>
          <w:color w:val="000000"/>
          <w:vertAlign w:val="superscript"/>
        </w:rPr>
        <w:t>26</w:t>
      </w:r>
      <w:r>
        <w:rPr>
          <w:color w:val="000000"/>
        </w:rPr>
        <w:t xml:space="preserve"> . Mogą one obejmować okresy przejściowe dla państw członkowskich, które w roku 2008 osiągnęły poziom niższy niż 5 % recyklingu w którejkolwiek z kategorii odpadów, o których mowa w ust. 2. Środki te, mające na celu zmianę elementów innych niż istotne nini</w:t>
      </w:r>
      <w:r>
        <w:rPr>
          <w:color w:val="000000"/>
        </w:rPr>
        <w:t>ejszej dyrektywy poprzez jej uzupełnienie, są przyjmowane zgodnie z procedurą regulacyjną połączoną z kontrolą, o której mowa w art. 39 ust. 2 niniejszej dyrektywy.</w:t>
      </w:r>
    </w:p>
    <w:p w:rsidR="00B1146D" w:rsidRDefault="00717A52">
      <w:pPr>
        <w:spacing w:before="26" w:after="0"/>
      </w:pPr>
      <w:r>
        <w:rPr>
          <w:color w:val="000000"/>
        </w:rPr>
        <w:t xml:space="preserve">4. Najpóźniej do dnia 31 grudnia 2014 r. Komisja dokona analizy środków i celów, o których </w:t>
      </w:r>
      <w:r>
        <w:rPr>
          <w:color w:val="000000"/>
        </w:rPr>
        <w:t xml:space="preserve">mowa w ust. 2, w celu, w razie konieczności, wzmocnienia tych celów lub rozważenia ustanowienia celów dla innych strumieni odpadów. Sprawozdanie Komisji, w stosownym przypadku z załączonym do niego wnioskiem, zostaje przesłane Parlamentowi Europejskiemu i </w:t>
      </w:r>
      <w:r>
        <w:rPr>
          <w:color w:val="000000"/>
        </w:rPr>
        <w:t>Radzie. W sprawozdaniu Komisja uwzględnia odpowiednie skutki środowiskowe, gospodarcze i społeczne wynikające z określenia celów.</w:t>
      </w:r>
    </w:p>
    <w:p w:rsidR="00B1146D" w:rsidRDefault="00717A52">
      <w:pPr>
        <w:spacing w:before="26" w:after="0"/>
      </w:pPr>
      <w:r>
        <w:rPr>
          <w:color w:val="000000"/>
        </w:rPr>
        <w:t>5. Co trzy lata, zgodnie z art. 37, państwa członkowskie przedstawiają Komisji sprawozdania dotyczące ich wyników w zakresie o</w:t>
      </w:r>
      <w:r>
        <w:rPr>
          <w:color w:val="000000"/>
        </w:rPr>
        <w:t>siągnięcia przedmiotowych celów. Jeśli cele nie zostaną osiągnięte, sprawozdanie to zawiera przyczyny niepowodzenia oraz działania, które państwo członkowskie zamierza podjąć w celu osiągnięcia tych celów.</w:t>
      </w:r>
    </w:p>
    <w:p w:rsidR="00B1146D" w:rsidRDefault="00B1146D">
      <w:pPr>
        <w:spacing w:before="80" w:after="0"/>
      </w:pPr>
    </w:p>
    <w:p w:rsidR="00B1146D" w:rsidRDefault="00717A52">
      <w:pPr>
        <w:spacing w:after="0"/>
      </w:pPr>
      <w:r>
        <w:rPr>
          <w:b/>
          <w:color w:val="000000"/>
        </w:rPr>
        <w:t xml:space="preserve">Artykuł  12 </w:t>
      </w:r>
    </w:p>
    <w:p w:rsidR="00B1146D" w:rsidRDefault="00717A52">
      <w:pPr>
        <w:spacing w:after="0"/>
      </w:pPr>
      <w:r>
        <w:rPr>
          <w:b/>
          <w:color w:val="000000"/>
        </w:rPr>
        <w:t>Unieszkodliwianie</w:t>
      </w:r>
    </w:p>
    <w:p w:rsidR="00B1146D" w:rsidRDefault="00717A52">
      <w:pPr>
        <w:spacing w:before="25" w:after="0"/>
        <w:jc w:val="both"/>
      </w:pPr>
      <w:r>
        <w:rPr>
          <w:color w:val="000000"/>
        </w:rPr>
        <w:t>Państwa członkowsk</w:t>
      </w:r>
      <w:r>
        <w:rPr>
          <w:color w:val="000000"/>
        </w:rPr>
        <w:t>ie zapewniają, aby w przypadkach gdy nie zostaje przeprowadzony odzysk zgodnie z art. 10 ust. 1, odpady podlegały bezpiecznym procesom unieszkodliwiania zgodnym z przepisami art. 13 dotyczącymi ochrony środowiska i zdrowia ludzkiego.</w:t>
      </w:r>
    </w:p>
    <w:p w:rsidR="00B1146D" w:rsidRDefault="00B1146D">
      <w:pPr>
        <w:spacing w:before="80" w:after="0"/>
      </w:pPr>
    </w:p>
    <w:p w:rsidR="00B1146D" w:rsidRDefault="00717A52">
      <w:pPr>
        <w:spacing w:after="0"/>
      </w:pPr>
      <w:r>
        <w:rPr>
          <w:b/>
          <w:color w:val="000000"/>
        </w:rPr>
        <w:t xml:space="preserve">Artykuł  13 </w:t>
      </w:r>
    </w:p>
    <w:p w:rsidR="00B1146D" w:rsidRDefault="00717A52">
      <w:pPr>
        <w:spacing w:after="0"/>
      </w:pPr>
      <w:r>
        <w:rPr>
          <w:b/>
          <w:color w:val="000000"/>
        </w:rPr>
        <w:t xml:space="preserve">Ochrona </w:t>
      </w:r>
      <w:r>
        <w:rPr>
          <w:b/>
          <w:color w:val="000000"/>
        </w:rPr>
        <w:t>zdrowia ludzkiego i środowiska</w:t>
      </w:r>
    </w:p>
    <w:p w:rsidR="00B1146D" w:rsidRDefault="00717A52">
      <w:pPr>
        <w:spacing w:before="25" w:after="0"/>
        <w:jc w:val="both"/>
      </w:pPr>
      <w:r>
        <w:rPr>
          <w:color w:val="000000"/>
        </w:rPr>
        <w:t>Państwa członkowskie stosują niezbędne środki w celu zapewnienia, aby gospodarowanie odpadami było prowadzone bez narażania zdrowia ludzkiego oraz bez szkody dla środowiska, w szczególności:</w:t>
      </w:r>
    </w:p>
    <w:p w:rsidR="00B1146D" w:rsidRDefault="00717A52">
      <w:pPr>
        <w:spacing w:after="0"/>
        <w:ind w:left="373"/>
      </w:pPr>
      <w:r>
        <w:rPr>
          <w:color w:val="000000"/>
        </w:rPr>
        <w:t>a) bez zagrożenia dla wody, powiet</w:t>
      </w:r>
      <w:r>
        <w:rPr>
          <w:color w:val="000000"/>
        </w:rPr>
        <w:t>rza, gleby, roślin lub zwierząt;</w:t>
      </w:r>
    </w:p>
    <w:p w:rsidR="00B1146D" w:rsidRDefault="00717A52">
      <w:pPr>
        <w:spacing w:after="0"/>
        <w:ind w:left="373"/>
      </w:pPr>
      <w:r>
        <w:rPr>
          <w:color w:val="000000"/>
        </w:rPr>
        <w:t>b) bez powodowania uciążliwości przez hałas lub zapachy; oraz</w:t>
      </w:r>
    </w:p>
    <w:p w:rsidR="00B1146D" w:rsidRDefault="00717A52">
      <w:pPr>
        <w:spacing w:after="0"/>
        <w:ind w:left="373"/>
      </w:pPr>
      <w:r>
        <w:rPr>
          <w:color w:val="000000"/>
        </w:rPr>
        <w:t>c) bez niekorzystnych skutków dla terenów wiejskich lub miejsc o szczególnym znaczeniu.</w:t>
      </w:r>
    </w:p>
    <w:p w:rsidR="00B1146D" w:rsidRDefault="00B1146D">
      <w:pPr>
        <w:spacing w:before="80" w:after="0"/>
      </w:pPr>
    </w:p>
    <w:p w:rsidR="00B1146D" w:rsidRDefault="00717A52">
      <w:pPr>
        <w:spacing w:after="0"/>
      </w:pPr>
      <w:r>
        <w:rPr>
          <w:b/>
          <w:color w:val="000000"/>
        </w:rPr>
        <w:t xml:space="preserve">Artykuł  14 </w:t>
      </w:r>
    </w:p>
    <w:p w:rsidR="00B1146D" w:rsidRDefault="00717A52">
      <w:pPr>
        <w:spacing w:after="0"/>
      </w:pPr>
      <w:r>
        <w:rPr>
          <w:b/>
          <w:color w:val="000000"/>
        </w:rPr>
        <w:t>Koszty</w:t>
      </w:r>
    </w:p>
    <w:p w:rsidR="00B1146D" w:rsidRDefault="00717A52">
      <w:pPr>
        <w:spacing w:before="26" w:after="0"/>
      </w:pPr>
      <w:r>
        <w:rPr>
          <w:color w:val="000000"/>
        </w:rPr>
        <w:t>1. Zgodnie z zasadą "zanieczyszczający płaci" koszty</w:t>
      </w:r>
      <w:r>
        <w:rPr>
          <w:color w:val="000000"/>
        </w:rPr>
        <w:t xml:space="preserve"> gospodarowania odpadami muszą być ponoszone przez pierwotnego wytwórcę odpadów lub przez obecnego lub poprzednich posiadaczy odpadów.</w:t>
      </w:r>
    </w:p>
    <w:p w:rsidR="00B1146D" w:rsidRDefault="00717A52">
      <w:pPr>
        <w:spacing w:before="26" w:after="0"/>
      </w:pPr>
      <w:r>
        <w:rPr>
          <w:color w:val="000000"/>
        </w:rPr>
        <w:t>2. Państwa członkowskie mogą postanowić, że koszty gospodarowania odpadami będą ponoszone częściowo lub w całości przez p</w:t>
      </w:r>
      <w:r>
        <w:rPr>
          <w:color w:val="000000"/>
        </w:rPr>
        <w:t>roducenta produktu, z którego odpady powstaną oraz że dystrybutorzy tych produktów mogą częściowo ponosić te koszty.</w:t>
      </w:r>
    </w:p>
    <w:p w:rsidR="00B1146D" w:rsidRDefault="00B1146D">
      <w:pPr>
        <w:spacing w:after="0"/>
      </w:pPr>
    </w:p>
    <w:p w:rsidR="00B1146D" w:rsidRDefault="00717A52">
      <w:pPr>
        <w:spacing w:before="146" w:after="0"/>
        <w:jc w:val="center"/>
      </w:pPr>
      <w:r>
        <w:rPr>
          <w:b/>
          <w:color w:val="000000"/>
        </w:rPr>
        <w:t xml:space="preserve">ROZDZIAŁ  III </w:t>
      </w:r>
    </w:p>
    <w:p w:rsidR="00B1146D" w:rsidRDefault="00717A52">
      <w:pPr>
        <w:spacing w:before="25" w:after="0"/>
        <w:jc w:val="center"/>
      </w:pPr>
      <w:r>
        <w:rPr>
          <w:b/>
          <w:color w:val="000000"/>
        </w:rPr>
        <w:t>GOSPODAROWANIE ODPADAMI</w:t>
      </w:r>
    </w:p>
    <w:p w:rsidR="00B1146D" w:rsidRDefault="00B1146D">
      <w:pPr>
        <w:spacing w:before="80" w:after="0"/>
      </w:pPr>
    </w:p>
    <w:p w:rsidR="00B1146D" w:rsidRDefault="00717A52">
      <w:pPr>
        <w:spacing w:after="0"/>
      </w:pPr>
      <w:r>
        <w:rPr>
          <w:b/>
          <w:color w:val="000000"/>
        </w:rPr>
        <w:t xml:space="preserve">Artykuł  15 </w:t>
      </w:r>
    </w:p>
    <w:p w:rsidR="00B1146D" w:rsidRDefault="00717A52">
      <w:pPr>
        <w:spacing w:after="0"/>
      </w:pPr>
      <w:r>
        <w:rPr>
          <w:b/>
          <w:color w:val="000000"/>
        </w:rPr>
        <w:t>Odpowiedzialność za gospodarowanie odpadami</w:t>
      </w:r>
    </w:p>
    <w:p w:rsidR="00B1146D" w:rsidRDefault="00717A52">
      <w:pPr>
        <w:spacing w:before="26" w:after="0"/>
      </w:pPr>
      <w:r>
        <w:rPr>
          <w:color w:val="000000"/>
        </w:rPr>
        <w:t>1. Państwa członkowskie stosują niezbędne</w:t>
      </w:r>
      <w:r>
        <w:rPr>
          <w:color w:val="000000"/>
        </w:rPr>
        <w:t xml:space="preserve"> środki w celu zapewnienia, by każdy pierwotny wytwórca odpadów lub inny posiadacz odpadów dokonywał przetwarzania odpadów samodzielnie lub zlecał przetwarzanie dealerowi, zakładowi lub przedsiębiorstwu wykonującemu czynności przetwarzania odpadów lub zlec</w:t>
      </w:r>
      <w:r>
        <w:rPr>
          <w:color w:val="000000"/>
        </w:rPr>
        <w:t>ił zorganizowanie przetwarzania prywatnemu lub publicznemu podmiotowi zajmującemu się zbieraniem odpadów zgodnie z art. 4 i 13.</w:t>
      </w:r>
    </w:p>
    <w:p w:rsidR="00B1146D" w:rsidRDefault="00717A52">
      <w:pPr>
        <w:spacing w:before="26" w:after="0"/>
      </w:pPr>
      <w:r>
        <w:rPr>
          <w:color w:val="000000"/>
        </w:rPr>
        <w:t xml:space="preserve">2. W przypadku gdy odpady są przemieszczane w celu ich wstępnego przetworzenia od pierwotnego wytwórcy lub posiadacza do jednej </w:t>
      </w:r>
      <w:r>
        <w:rPr>
          <w:color w:val="000000"/>
        </w:rPr>
        <w:t>z osób fizycznych lub prawnych, o których mowa w ust. 1, co do zasady nie następuje zwolnienie z odpowiedzialności za przeprowadzenie ostatecznego procesu odzysku lub unieszkodliwienia.</w:t>
      </w:r>
    </w:p>
    <w:p w:rsidR="00B1146D" w:rsidRDefault="00717A52">
      <w:pPr>
        <w:spacing w:before="25" w:after="0"/>
        <w:jc w:val="both"/>
      </w:pPr>
      <w:r>
        <w:rPr>
          <w:color w:val="000000"/>
        </w:rPr>
        <w:t xml:space="preserve">Bez uszczerbku dla </w:t>
      </w:r>
      <w:r>
        <w:rPr>
          <w:color w:val="1B1B1B"/>
        </w:rPr>
        <w:t>rozporządzenia</w:t>
      </w:r>
      <w:r>
        <w:rPr>
          <w:color w:val="000000"/>
        </w:rPr>
        <w:t xml:space="preserve"> (WE) nr 1013/2006, państwa członkows</w:t>
      </w:r>
      <w:r>
        <w:rPr>
          <w:color w:val="000000"/>
        </w:rPr>
        <w:t>kie mogą określić warunki odpowiedzialności i postanowić, w jakich przypadkach pierwotny wytwórca odpowiedzialny jest za wszystkie działania na odpadach w łańcuch ich przetwarzania lub w jakich odpowiedzialność może być dzielona lub przekazywana między ucz</w:t>
      </w:r>
      <w:r>
        <w:rPr>
          <w:color w:val="000000"/>
        </w:rPr>
        <w:t>estnikami tego łańcucha przetwarzania.</w:t>
      </w:r>
    </w:p>
    <w:p w:rsidR="00B1146D" w:rsidRDefault="00717A52">
      <w:pPr>
        <w:spacing w:before="26" w:after="0"/>
      </w:pPr>
      <w:r>
        <w:rPr>
          <w:color w:val="000000"/>
        </w:rPr>
        <w:t xml:space="preserve">3. Państwa członkowskie mogą postanowić, zgodnie z art. 8, że odpowiedzialność za organizację gospodarowania odpadami jest ponoszona częściowo lub całkowicie przez producenta produktu, z którego pochodzą odpady, i że </w:t>
      </w:r>
      <w:r>
        <w:rPr>
          <w:color w:val="000000"/>
        </w:rPr>
        <w:t>dystrybutorzy tych produktów mogą ponosić wspólnie tę odpowiedzialność.</w:t>
      </w:r>
    </w:p>
    <w:p w:rsidR="00B1146D" w:rsidRDefault="00717A52">
      <w:pPr>
        <w:spacing w:before="26" w:after="0"/>
      </w:pPr>
      <w:r>
        <w:rPr>
          <w:color w:val="000000"/>
        </w:rPr>
        <w:t>4. Państwa członkowskie podejmują niezbędne środki w celu zapewnienia, aby na ich terytorium zakłady i przedsiębiorstwa zajmujące się zawodowo zbieraniem lub transportem odpadów dostar</w:t>
      </w:r>
      <w:r>
        <w:rPr>
          <w:color w:val="000000"/>
        </w:rPr>
        <w:t>czały zebrane i transportowane przez siebie odpady do odpowiednich instalacji przetwarzania odpadów, z poszanowaniem obowiązków określonych w art. 13.</w:t>
      </w:r>
    </w:p>
    <w:p w:rsidR="00B1146D" w:rsidRDefault="00B1146D">
      <w:pPr>
        <w:spacing w:before="80" w:after="0"/>
      </w:pPr>
    </w:p>
    <w:p w:rsidR="00B1146D" w:rsidRDefault="00717A52">
      <w:pPr>
        <w:spacing w:after="0"/>
      </w:pPr>
      <w:r>
        <w:rPr>
          <w:b/>
          <w:color w:val="000000"/>
        </w:rPr>
        <w:t xml:space="preserve">Artykuł  16 </w:t>
      </w:r>
    </w:p>
    <w:p w:rsidR="00B1146D" w:rsidRDefault="00717A52">
      <w:pPr>
        <w:spacing w:after="0"/>
      </w:pPr>
      <w:r>
        <w:rPr>
          <w:b/>
          <w:color w:val="000000"/>
        </w:rPr>
        <w:t>Zasada samowystarczalności i bliskości</w:t>
      </w:r>
    </w:p>
    <w:p w:rsidR="00B1146D" w:rsidRDefault="00717A52">
      <w:pPr>
        <w:spacing w:before="26" w:after="0"/>
      </w:pPr>
      <w:r>
        <w:rPr>
          <w:color w:val="000000"/>
        </w:rPr>
        <w:t xml:space="preserve">1. Państwa członkowskie stosują właściwe środki, we </w:t>
      </w:r>
      <w:r>
        <w:rPr>
          <w:color w:val="000000"/>
        </w:rPr>
        <w:t>współpracy z innymi państwami członkowskimi, jeżeli jest to konieczne lub pożądane, aby ustanowić zintegrowaną i wystarczającą sieć instalacji do unieszkodliwiania odpadów i instalacji do odzysku zmieszanych odpadów komunalnych zebranych z gospodarstw domo</w:t>
      </w:r>
      <w:r>
        <w:rPr>
          <w:color w:val="000000"/>
        </w:rPr>
        <w:t>wych, uwzględniającą przypadki, w których zbieranie takie obejmuje również takie odpady od innych wytwórców, z uwzględnieniem najlepszych dostępnych technik.</w:t>
      </w:r>
    </w:p>
    <w:p w:rsidR="00B1146D" w:rsidRDefault="00717A52">
      <w:pPr>
        <w:spacing w:before="25" w:after="0"/>
        <w:jc w:val="both"/>
      </w:pPr>
      <w:r>
        <w:rPr>
          <w:color w:val="000000"/>
        </w:rPr>
        <w:t xml:space="preserve">W drodze odstępstwa od </w:t>
      </w:r>
      <w:r>
        <w:rPr>
          <w:color w:val="1B1B1B"/>
        </w:rPr>
        <w:t>rozporządzenia</w:t>
      </w:r>
      <w:r>
        <w:rPr>
          <w:color w:val="000000"/>
        </w:rPr>
        <w:t xml:space="preserve"> (WE) nr 1013/2006, aby chronić swoją sieć, państwa członkows</w:t>
      </w:r>
      <w:r>
        <w:rPr>
          <w:color w:val="000000"/>
        </w:rPr>
        <w:t>kie mogą ograniczyć wchodzące transporty odpadów przeznaczonych do obiektów przekształcania termicznego, które zaklasyfikowano jako instalacje do odzysku, w przypadkach, gdy ustalono, że transporty takie doprowadziłyby w konsekwencji do tego, że krajowe od</w:t>
      </w:r>
      <w:r>
        <w:rPr>
          <w:color w:val="000000"/>
        </w:rPr>
        <w:t>pady musiałyby być unieszkodliwiane lub musiałyby być przetwarzane w sposób niezgodny z planami gospodarki odpadami tych państw. Państwa członkowskie zawiadamiają Komisję o podjęciu takiej decyzji. Państwa członkowskie mogą również ograniczyć wychodzące tr</w:t>
      </w:r>
      <w:r>
        <w:rPr>
          <w:color w:val="000000"/>
        </w:rPr>
        <w:t xml:space="preserve">ansporty odpadów z przyczyn dotyczących środowiska określonych w </w:t>
      </w:r>
      <w:r>
        <w:rPr>
          <w:color w:val="1B1B1B"/>
        </w:rPr>
        <w:t>rozporządzeniu</w:t>
      </w:r>
      <w:r>
        <w:rPr>
          <w:color w:val="000000"/>
        </w:rPr>
        <w:t xml:space="preserve"> (WE) nr 1013/2006.</w:t>
      </w:r>
    </w:p>
    <w:p w:rsidR="00B1146D" w:rsidRDefault="00717A52">
      <w:pPr>
        <w:spacing w:before="26" w:after="0"/>
      </w:pPr>
      <w:r>
        <w:rPr>
          <w:color w:val="000000"/>
        </w:rPr>
        <w:t>2. Sieć powinna być zaprojektowana w sposób umożliwiający Wspólnocie jako całości stanie się samowystarczalną w zakresie unieszkodliwiania odpadów, jak równi</w:t>
      </w:r>
      <w:r>
        <w:rPr>
          <w:color w:val="000000"/>
        </w:rPr>
        <w:t>eż odzysku odpadów, o których mowa w ust. 1, a państwom członkowskim umożliwić stopniowe osiąganie tego celu indywidualnie, przy uwzględnieniu warunków geograficznych lub zapotrzebowania na specjalistyczne instalacje dla niektórych rodzajów odpadów.</w:t>
      </w:r>
    </w:p>
    <w:p w:rsidR="00B1146D" w:rsidRDefault="00717A52">
      <w:pPr>
        <w:spacing w:before="26" w:after="0"/>
      </w:pPr>
      <w:r>
        <w:rPr>
          <w:color w:val="000000"/>
        </w:rPr>
        <w:t>3. Sie</w:t>
      </w:r>
      <w:r>
        <w:rPr>
          <w:color w:val="000000"/>
        </w:rPr>
        <w:t xml:space="preserve">ć powinna umożliwiać unieszkodliwiane odpadów lub odzysk odpadów, o których mowa w ust. 1, w jednej z najbliżej położonych odpowiednich instalacji, za pomocą najodpowiedniejszych metod i technologii, w celu zapewnienia wysokiego poziomu ochrony środowiska </w:t>
      </w:r>
      <w:r>
        <w:rPr>
          <w:color w:val="000000"/>
        </w:rPr>
        <w:t>oraz zdrowia publicznego.</w:t>
      </w:r>
    </w:p>
    <w:p w:rsidR="00B1146D" w:rsidRDefault="00717A52">
      <w:pPr>
        <w:spacing w:before="26" w:after="0"/>
      </w:pPr>
      <w:r>
        <w:rPr>
          <w:color w:val="000000"/>
        </w:rPr>
        <w:t>4. Zasady bliskości i samowystarczalności nie oznaczają, że każde państwo członkowskie musi posiadać na swoim terytorium pełen zakres obiektów do ostatecznego odzysku.</w:t>
      </w:r>
    </w:p>
    <w:p w:rsidR="00B1146D" w:rsidRDefault="00B1146D">
      <w:pPr>
        <w:spacing w:before="80" w:after="0"/>
      </w:pPr>
    </w:p>
    <w:p w:rsidR="00B1146D" w:rsidRDefault="00717A52">
      <w:pPr>
        <w:spacing w:after="0"/>
      </w:pPr>
      <w:r>
        <w:rPr>
          <w:b/>
          <w:color w:val="000000"/>
        </w:rPr>
        <w:t xml:space="preserve">Artykuł  17 </w:t>
      </w:r>
    </w:p>
    <w:p w:rsidR="00B1146D" w:rsidRDefault="00717A52">
      <w:pPr>
        <w:spacing w:after="0"/>
      </w:pPr>
      <w:r>
        <w:rPr>
          <w:b/>
          <w:color w:val="000000"/>
        </w:rPr>
        <w:t>Kontrola odpadów niebezpiecznych</w:t>
      </w:r>
    </w:p>
    <w:p w:rsidR="00B1146D" w:rsidRDefault="00717A52">
      <w:pPr>
        <w:spacing w:before="25" w:after="0"/>
        <w:jc w:val="both"/>
      </w:pPr>
      <w:r>
        <w:rPr>
          <w:color w:val="000000"/>
        </w:rPr>
        <w:t>Państwa członko</w:t>
      </w:r>
      <w:r>
        <w:rPr>
          <w:color w:val="000000"/>
        </w:rPr>
        <w:t>wskie podejmują środki niezbędne do zapewnienia, aby produkcję, zbieranie i przewóz odpadów niebezpiecznych oraz ich magazynowanie i przetwarzanie przeprowadzano w warunkach gwarantujących ochronę środowiska i zdrowia ludzkiego w celu spełnienia wymogów ar</w:t>
      </w:r>
      <w:r>
        <w:rPr>
          <w:color w:val="000000"/>
        </w:rPr>
        <w:t>t. 13, w tym środki służące ustaleniu obiegu od momentu produkcji do miejsca przeznaczenia oraz kontroli odpadów niebezpiecznych zgodnie z wymogami art. 35 i 36.</w:t>
      </w:r>
    </w:p>
    <w:p w:rsidR="00B1146D" w:rsidRDefault="00B1146D">
      <w:pPr>
        <w:spacing w:before="80" w:after="0"/>
      </w:pPr>
    </w:p>
    <w:p w:rsidR="00B1146D" w:rsidRDefault="00717A52">
      <w:pPr>
        <w:spacing w:after="0"/>
      </w:pPr>
      <w:r>
        <w:rPr>
          <w:b/>
          <w:color w:val="000000"/>
        </w:rPr>
        <w:t xml:space="preserve">Artykuł  18 </w:t>
      </w:r>
    </w:p>
    <w:p w:rsidR="00B1146D" w:rsidRDefault="00717A52">
      <w:pPr>
        <w:spacing w:after="0"/>
      </w:pPr>
      <w:r>
        <w:rPr>
          <w:b/>
          <w:color w:val="000000"/>
        </w:rPr>
        <w:t>Zakaz mieszania odpadów niebezpiecznych</w:t>
      </w:r>
    </w:p>
    <w:p w:rsidR="00B1146D" w:rsidRDefault="00717A52">
      <w:pPr>
        <w:spacing w:before="26" w:after="0"/>
      </w:pPr>
      <w:r>
        <w:rPr>
          <w:color w:val="000000"/>
        </w:rPr>
        <w:t xml:space="preserve">1. Państwa członkowskie stosują </w:t>
      </w:r>
      <w:r>
        <w:rPr>
          <w:color w:val="000000"/>
        </w:rPr>
        <w:t>konieczne środki, dla zapewnienia, aby odpady niebezpieczne nie były mieszane ani z innymi kategoriami odpadów niebezpiecznych ani z innymi odpadami, substancjami lub materiałami. Mieszanie obejmuje rozcieńczanie substancji niebezpiecznych.</w:t>
      </w:r>
    </w:p>
    <w:p w:rsidR="00B1146D" w:rsidRDefault="00717A52">
      <w:pPr>
        <w:spacing w:before="26" w:after="0"/>
      </w:pPr>
      <w:r>
        <w:rPr>
          <w:color w:val="000000"/>
        </w:rPr>
        <w:t>2. W drodze ods</w:t>
      </w:r>
      <w:r>
        <w:rPr>
          <w:color w:val="000000"/>
        </w:rPr>
        <w:t>tępstwa od ust. 1 państwa członkowskie mogą zezwolić na mieszanie, pod warunkiem że:</w:t>
      </w:r>
    </w:p>
    <w:p w:rsidR="00B1146D" w:rsidRDefault="00717A52">
      <w:pPr>
        <w:spacing w:after="0"/>
        <w:ind w:left="373"/>
      </w:pPr>
      <w:r>
        <w:rPr>
          <w:color w:val="000000"/>
        </w:rPr>
        <w:t>a) proces mieszania prowadzony jest przez zakład lub przedsiębiorstwo, które uzyskało zezwolenie zgodnie z art. 23;</w:t>
      </w:r>
    </w:p>
    <w:p w:rsidR="00B1146D" w:rsidRDefault="00717A52">
      <w:pPr>
        <w:spacing w:after="0"/>
        <w:ind w:left="373"/>
      </w:pPr>
      <w:r>
        <w:rPr>
          <w:color w:val="000000"/>
        </w:rPr>
        <w:t xml:space="preserve">b) spełnione są warunki określone w art. 13, a </w:t>
      </w:r>
      <w:r>
        <w:rPr>
          <w:color w:val="000000"/>
        </w:rPr>
        <w:t>niekorzystne skutki gospodarowania odpadami dla zdrowia ludzkiego i dla środowiska nie zwiększają się; oraz</w:t>
      </w:r>
    </w:p>
    <w:p w:rsidR="00B1146D" w:rsidRDefault="00717A52">
      <w:pPr>
        <w:spacing w:after="0"/>
        <w:ind w:left="373"/>
      </w:pPr>
      <w:r>
        <w:rPr>
          <w:color w:val="000000"/>
        </w:rPr>
        <w:t>c) proces mieszania jest przeprowadzany zgodnie z najlepszymi dostępnymi technikami.</w:t>
      </w:r>
    </w:p>
    <w:p w:rsidR="00B1146D" w:rsidRDefault="00717A52">
      <w:pPr>
        <w:spacing w:before="26" w:after="0"/>
      </w:pPr>
      <w:r>
        <w:rPr>
          <w:color w:val="000000"/>
        </w:rPr>
        <w:t>3. Z zastrzeżeniem technicznych i ekonomicznych kryteriów wykon</w:t>
      </w:r>
      <w:r>
        <w:rPr>
          <w:color w:val="000000"/>
        </w:rPr>
        <w:t>alności, w przypadku gdy odpady niebezpieczne zostały zmieszane w sposób inny niż określony w ust. 1, odpady, o ile to możliwe i niezbędne, rozdziela się w celu zachowania zgodności z art. 13.</w:t>
      </w:r>
    </w:p>
    <w:p w:rsidR="00B1146D" w:rsidRDefault="00B1146D">
      <w:pPr>
        <w:spacing w:before="80" w:after="0"/>
      </w:pPr>
    </w:p>
    <w:p w:rsidR="00B1146D" w:rsidRDefault="00717A52">
      <w:pPr>
        <w:spacing w:after="0"/>
      </w:pPr>
      <w:r>
        <w:rPr>
          <w:b/>
          <w:color w:val="000000"/>
        </w:rPr>
        <w:t xml:space="preserve">Artykuł  19 </w:t>
      </w:r>
    </w:p>
    <w:p w:rsidR="00B1146D" w:rsidRDefault="00717A52">
      <w:pPr>
        <w:spacing w:after="0"/>
      </w:pPr>
      <w:r>
        <w:rPr>
          <w:b/>
          <w:color w:val="000000"/>
        </w:rPr>
        <w:t>Oznakowywanie odpadów niebezpiecznych</w:t>
      </w:r>
    </w:p>
    <w:p w:rsidR="00B1146D" w:rsidRDefault="00717A52">
      <w:pPr>
        <w:spacing w:before="26" w:after="0"/>
      </w:pPr>
      <w:r>
        <w:rPr>
          <w:color w:val="000000"/>
        </w:rPr>
        <w:t xml:space="preserve">1. Państwa </w:t>
      </w:r>
      <w:r>
        <w:rPr>
          <w:color w:val="000000"/>
        </w:rPr>
        <w:t>członkowskie stosują konieczne środki w celu zapewnienia, aby w trakcie zbierania, transportu i czasowego magazynowania, odpady niebezpieczne były pakowane i oznakowywane zgodnie z obowiązującymi normami międzynarodowymi i wspólnotowymi.</w:t>
      </w:r>
    </w:p>
    <w:p w:rsidR="00B1146D" w:rsidRDefault="00717A52">
      <w:pPr>
        <w:spacing w:before="26" w:after="0"/>
      </w:pPr>
      <w:r>
        <w:rPr>
          <w:color w:val="000000"/>
        </w:rPr>
        <w:t>2. Każdorazowo gdy</w:t>
      </w:r>
      <w:r>
        <w:rPr>
          <w:color w:val="000000"/>
        </w:rPr>
        <w:t xml:space="preserve"> odpady niebezpieczne są przemieszczane w obrębie państwa członkowskiego, towarzyszy im dokument identyfikacyjny, który może mieć postać elektroniczną, zawierający właściwe dane, określone w </w:t>
      </w:r>
      <w:r>
        <w:rPr>
          <w:color w:val="1B1B1B"/>
        </w:rPr>
        <w:t>załączniku IB</w:t>
      </w:r>
      <w:r>
        <w:rPr>
          <w:color w:val="000000"/>
        </w:rPr>
        <w:t xml:space="preserve"> do rozporządzenia (WE) nr 1013/2006.</w:t>
      </w:r>
    </w:p>
    <w:p w:rsidR="00B1146D" w:rsidRDefault="00B1146D">
      <w:pPr>
        <w:spacing w:before="80" w:after="0"/>
      </w:pPr>
    </w:p>
    <w:p w:rsidR="00B1146D" w:rsidRDefault="00717A52">
      <w:pPr>
        <w:spacing w:after="0"/>
      </w:pPr>
      <w:r>
        <w:rPr>
          <w:b/>
          <w:color w:val="000000"/>
        </w:rPr>
        <w:t xml:space="preserve">Artykuł  20 </w:t>
      </w:r>
    </w:p>
    <w:p w:rsidR="00B1146D" w:rsidRDefault="00717A52">
      <w:pPr>
        <w:spacing w:after="0"/>
      </w:pPr>
      <w:r>
        <w:rPr>
          <w:b/>
          <w:color w:val="000000"/>
        </w:rPr>
        <w:t>Odpady niebezpieczne wytwarzane w gospodarstwach domowych</w:t>
      </w:r>
    </w:p>
    <w:p w:rsidR="00B1146D" w:rsidRDefault="00717A52">
      <w:pPr>
        <w:spacing w:before="25" w:after="0"/>
        <w:jc w:val="both"/>
      </w:pPr>
      <w:r>
        <w:rPr>
          <w:color w:val="000000"/>
        </w:rPr>
        <w:t>Art. 17, 18, 19 i 35 nie mają zastosowania do odpadów zmieszanych wytwarzanych w gospodarstwach domowych.</w:t>
      </w:r>
    </w:p>
    <w:p w:rsidR="00B1146D" w:rsidRDefault="00717A52">
      <w:pPr>
        <w:spacing w:before="25" w:after="0"/>
        <w:jc w:val="both"/>
      </w:pPr>
      <w:r>
        <w:rPr>
          <w:color w:val="000000"/>
        </w:rPr>
        <w:t>Art. 19 i 35 nie mają zastosowania do odrębnych frakcji odpadów niebezpiecznych wytwarzanych</w:t>
      </w:r>
      <w:r>
        <w:rPr>
          <w:color w:val="000000"/>
        </w:rPr>
        <w:t xml:space="preserve"> w gospodarstwach domowych do czasu ich przejęcia w celu zebrania, unieszkodliwienia lub odzysku przez zakład lub przedsiębiorstwo, które uzyskało zezwolenie lub zostało zarejestrowane zgodnie z art. 23 lub 26.</w:t>
      </w:r>
    </w:p>
    <w:p w:rsidR="00B1146D" w:rsidRDefault="00B1146D">
      <w:pPr>
        <w:spacing w:before="80" w:after="0"/>
      </w:pPr>
    </w:p>
    <w:p w:rsidR="00B1146D" w:rsidRDefault="00717A52">
      <w:pPr>
        <w:spacing w:after="0"/>
      </w:pPr>
      <w:r>
        <w:rPr>
          <w:b/>
          <w:color w:val="000000"/>
        </w:rPr>
        <w:t xml:space="preserve">Artykuł  21 </w:t>
      </w:r>
    </w:p>
    <w:p w:rsidR="00B1146D" w:rsidRDefault="00717A52">
      <w:pPr>
        <w:spacing w:after="0"/>
      </w:pPr>
      <w:r>
        <w:rPr>
          <w:b/>
          <w:color w:val="000000"/>
        </w:rPr>
        <w:t>Oleje odpadowe</w:t>
      </w:r>
    </w:p>
    <w:p w:rsidR="00B1146D" w:rsidRDefault="00717A52">
      <w:pPr>
        <w:spacing w:before="26" w:after="0"/>
      </w:pPr>
      <w:r>
        <w:rPr>
          <w:color w:val="000000"/>
        </w:rPr>
        <w:t>1. Bez uszczerbk</w:t>
      </w:r>
      <w:r>
        <w:rPr>
          <w:color w:val="000000"/>
        </w:rPr>
        <w:t>u dla zobowiązań odnoszących się do gospodarowania odpadami niebezpiecznymi zawartych w art. 18 i 19, państwa członkowskie stosują niezbędne środki w celu zapewnienia, by:</w:t>
      </w:r>
    </w:p>
    <w:p w:rsidR="00B1146D" w:rsidRDefault="00717A52">
      <w:pPr>
        <w:spacing w:after="0"/>
        <w:ind w:left="373"/>
      </w:pPr>
      <w:r>
        <w:rPr>
          <w:color w:val="000000"/>
        </w:rPr>
        <w:t>a) oleje odpadowe były zbierane osobno, w przypadkach gdy jest to technicznie wykona</w:t>
      </w:r>
      <w:r>
        <w:rPr>
          <w:color w:val="000000"/>
        </w:rPr>
        <w:t>lne;</w:t>
      </w:r>
    </w:p>
    <w:p w:rsidR="00B1146D" w:rsidRDefault="00717A52">
      <w:pPr>
        <w:spacing w:after="0"/>
        <w:ind w:left="373"/>
      </w:pPr>
      <w:r>
        <w:rPr>
          <w:color w:val="000000"/>
        </w:rPr>
        <w:t>b) oleje odpadowe były przetwarzane zgodnie z art. 4 i 13;</w:t>
      </w:r>
    </w:p>
    <w:p w:rsidR="00B1146D" w:rsidRDefault="00717A52">
      <w:pPr>
        <w:spacing w:after="0"/>
        <w:ind w:left="373"/>
      </w:pPr>
      <w:r>
        <w:rPr>
          <w:color w:val="000000"/>
        </w:rPr>
        <w:t>c) w przypadkach gdy jest to technicznie wykonalne i opłacalne ekonomicznie, oleje odpadowe o różnych cechach nie były mieszane i by oleje odpadowe nie były mieszane z innymi odpadami lub subs</w:t>
      </w:r>
      <w:r>
        <w:rPr>
          <w:color w:val="000000"/>
        </w:rPr>
        <w:t>tancjami, jeżeli takie mieszanie stanowi przeszkodę w ich przetwarzaniu.</w:t>
      </w:r>
    </w:p>
    <w:p w:rsidR="00B1146D" w:rsidRDefault="00717A52">
      <w:pPr>
        <w:spacing w:before="26" w:after="0"/>
      </w:pPr>
      <w:r>
        <w:rPr>
          <w:color w:val="000000"/>
        </w:rPr>
        <w:t>2. Dla celów selektywnego zbierania olejów opadowych i ich właściwego przetwarzania państwa członkowskie mogą, w zależności od warunków krajowych, zastosować dodatkowe środki, takie j</w:t>
      </w:r>
      <w:r>
        <w:rPr>
          <w:color w:val="000000"/>
        </w:rPr>
        <w:t>ak wymagania techniczne, zasada odpowiedzialności producenta, instrumenty ekonomiczne lub dobrowolne porozumienia.</w:t>
      </w:r>
    </w:p>
    <w:p w:rsidR="00B1146D" w:rsidRDefault="00717A52">
      <w:pPr>
        <w:spacing w:before="26" w:after="0"/>
      </w:pPr>
      <w:r>
        <w:rPr>
          <w:color w:val="000000"/>
        </w:rPr>
        <w:t xml:space="preserve">3. W przypadkach gdy oleje odpadowe, zgodnie z przepisami krajowymi, podlegają wymogom regeneracji, państwa członkowskie mogą postanowić, że </w:t>
      </w:r>
      <w:r>
        <w:rPr>
          <w:color w:val="000000"/>
        </w:rPr>
        <w:t xml:space="preserve">takie oleje odpadowe są regenerowane, jeżeli jest to technicznie wykonalne, a w przypadkach gdy zastosowanie mają </w:t>
      </w:r>
      <w:r>
        <w:rPr>
          <w:color w:val="1B1B1B"/>
        </w:rPr>
        <w:t>art. 11</w:t>
      </w:r>
      <w:r>
        <w:rPr>
          <w:color w:val="000000"/>
        </w:rPr>
        <w:t xml:space="preserve"> lub </w:t>
      </w:r>
      <w:r>
        <w:rPr>
          <w:color w:val="1B1B1B"/>
        </w:rPr>
        <w:t>12</w:t>
      </w:r>
      <w:r>
        <w:rPr>
          <w:color w:val="000000"/>
        </w:rPr>
        <w:t xml:space="preserve"> rozporządzenia (WE) nr 1013/2006 - mogą ograniczyć transgraniczny transport olejów odpadowych ze swojego terytorium do spalarni</w:t>
      </w:r>
      <w:r>
        <w:rPr>
          <w:color w:val="000000"/>
        </w:rPr>
        <w:t xml:space="preserve"> lub współspalarni, aby dać pierwszeństwo regeneracji olejów odpadowych.</w:t>
      </w:r>
    </w:p>
    <w:p w:rsidR="00B1146D" w:rsidRDefault="00B1146D">
      <w:pPr>
        <w:spacing w:before="80" w:after="0"/>
      </w:pPr>
    </w:p>
    <w:p w:rsidR="00B1146D" w:rsidRDefault="00717A52">
      <w:pPr>
        <w:spacing w:after="0"/>
      </w:pPr>
      <w:r>
        <w:rPr>
          <w:b/>
          <w:color w:val="000000"/>
        </w:rPr>
        <w:t xml:space="preserve">Artykuł  22 </w:t>
      </w:r>
    </w:p>
    <w:p w:rsidR="00B1146D" w:rsidRDefault="00717A52">
      <w:pPr>
        <w:spacing w:after="0"/>
      </w:pPr>
      <w:r>
        <w:rPr>
          <w:b/>
          <w:color w:val="000000"/>
        </w:rPr>
        <w:t>Bioodpady</w:t>
      </w:r>
    </w:p>
    <w:p w:rsidR="00B1146D" w:rsidRDefault="00717A52">
      <w:pPr>
        <w:spacing w:before="25" w:after="0"/>
        <w:jc w:val="both"/>
      </w:pPr>
      <w:r>
        <w:rPr>
          <w:color w:val="000000"/>
        </w:rPr>
        <w:t>Państwa członkowskie podejmują środki, w odpowiednich przypadkach i zgodnie z art. 4 i 13, zachęcające do:</w:t>
      </w:r>
    </w:p>
    <w:p w:rsidR="00B1146D" w:rsidRDefault="00717A52">
      <w:pPr>
        <w:spacing w:after="0"/>
        <w:ind w:left="373"/>
      </w:pPr>
      <w:r>
        <w:rPr>
          <w:color w:val="000000"/>
        </w:rPr>
        <w:t xml:space="preserve">a) selektywnego zbierania bioodpadów w celu ich </w:t>
      </w:r>
      <w:r>
        <w:rPr>
          <w:color w:val="000000"/>
        </w:rPr>
        <w:t>kompostowania i uzyskiwania z nich sfermentowanej biomasy;</w:t>
      </w:r>
    </w:p>
    <w:p w:rsidR="00B1146D" w:rsidRDefault="00717A52">
      <w:pPr>
        <w:spacing w:after="0"/>
        <w:ind w:left="373"/>
      </w:pPr>
      <w:r>
        <w:rPr>
          <w:color w:val="000000"/>
        </w:rPr>
        <w:t>b) przetwarzania bioodpadów w sposób, który zapewnia wysoki poziom ochrony środowiska;</w:t>
      </w:r>
    </w:p>
    <w:p w:rsidR="00B1146D" w:rsidRDefault="00717A52">
      <w:pPr>
        <w:spacing w:after="0"/>
        <w:ind w:left="373"/>
      </w:pPr>
      <w:r>
        <w:rPr>
          <w:color w:val="000000"/>
        </w:rPr>
        <w:t>c) stosowania bezpiecznych dla środowiska materiałów wyprodukowanych z bioodpadów.</w:t>
      </w:r>
    </w:p>
    <w:p w:rsidR="00B1146D" w:rsidRDefault="00717A52">
      <w:pPr>
        <w:spacing w:before="25" w:after="0"/>
        <w:ind w:left="373"/>
        <w:jc w:val="both"/>
      </w:pPr>
      <w:r>
        <w:rPr>
          <w:color w:val="000000"/>
        </w:rPr>
        <w:t>Komisja dokonuje oceny gosp</w:t>
      </w:r>
      <w:r>
        <w:rPr>
          <w:color w:val="000000"/>
        </w:rPr>
        <w:t xml:space="preserve">odarowania bioodpadami w celu przedłożenia wniosku, o ile będzie to wskazane. W ramach oceny bada się możliwość ustalenia wymogów minimalnych gospodarowania bioodpadami i kryteria jakościowe dla kompostu i sfermentowanej biomasy pochodzących z bioodpadów, </w:t>
      </w:r>
      <w:r>
        <w:rPr>
          <w:color w:val="000000"/>
        </w:rPr>
        <w:t>tak aby zagwarantować wysoki poziom ochrony zdrowia ludzkiego i środowiska.</w:t>
      </w:r>
    </w:p>
    <w:p w:rsidR="00B1146D" w:rsidRDefault="00B1146D">
      <w:pPr>
        <w:spacing w:after="0"/>
      </w:pPr>
    </w:p>
    <w:p w:rsidR="00B1146D" w:rsidRDefault="00717A52">
      <w:pPr>
        <w:spacing w:before="146" w:after="0"/>
        <w:jc w:val="center"/>
      </w:pPr>
      <w:r>
        <w:rPr>
          <w:b/>
          <w:color w:val="000000"/>
        </w:rPr>
        <w:t xml:space="preserve">ROZDZIAŁ  IV </w:t>
      </w:r>
    </w:p>
    <w:p w:rsidR="00B1146D" w:rsidRDefault="00717A52">
      <w:pPr>
        <w:spacing w:before="25" w:after="0"/>
        <w:jc w:val="center"/>
      </w:pPr>
      <w:r>
        <w:rPr>
          <w:b/>
          <w:color w:val="000000"/>
        </w:rPr>
        <w:t>ZEZWOLENIA I REJESTRACJE</w:t>
      </w:r>
    </w:p>
    <w:p w:rsidR="00B1146D" w:rsidRDefault="00B1146D">
      <w:pPr>
        <w:spacing w:before="80" w:after="0"/>
      </w:pPr>
    </w:p>
    <w:p w:rsidR="00B1146D" w:rsidRDefault="00717A52">
      <w:pPr>
        <w:spacing w:after="0"/>
      </w:pPr>
      <w:r>
        <w:rPr>
          <w:b/>
          <w:color w:val="000000"/>
        </w:rPr>
        <w:t xml:space="preserve">Artykuł  23 </w:t>
      </w:r>
    </w:p>
    <w:p w:rsidR="00B1146D" w:rsidRDefault="00717A52">
      <w:pPr>
        <w:spacing w:after="0"/>
      </w:pPr>
      <w:r>
        <w:rPr>
          <w:b/>
          <w:color w:val="000000"/>
        </w:rPr>
        <w:t>Wydawanie zezwoleń</w:t>
      </w:r>
    </w:p>
    <w:p w:rsidR="00B1146D" w:rsidRDefault="00717A52">
      <w:pPr>
        <w:spacing w:before="26" w:after="0"/>
      </w:pPr>
      <w:r>
        <w:rPr>
          <w:color w:val="000000"/>
        </w:rPr>
        <w:t>1. Państwa członkowskie wymagają, aby wszystkie zakłady lub przedsiębiorstwa, które zamierzają dokonywać pr</w:t>
      </w:r>
      <w:r>
        <w:rPr>
          <w:color w:val="000000"/>
        </w:rPr>
        <w:t>zetwarzania odpadów, uzyskały zezwolenie od właściwego organu.</w:t>
      </w:r>
    </w:p>
    <w:p w:rsidR="00B1146D" w:rsidRDefault="00717A52">
      <w:pPr>
        <w:spacing w:before="25" w:after="0"/>
        <w:jc w:val="both"/>
      </w:pPr>
      <w:r>
        <w:rPr>
          <w:color w:val="000000"/>
        </w:rPr>
        <w:t>Zezwolenia takie określają przynajmniej następujące kwestie:</w:t>
      </w:r>
    </w:p>
    <w:p w:rsidR="00B1146D" w:rsidRDefault="00717A52">
      <w:pPr>
        <w:spacing w:after="0"/>
        <w:ind w:left="373"/>
      </w:pPr>
      <w:r>
        <w:rPr>
          <w:color w:val="000000"/>
        </w:rPr>
        <w:t>a) rodzaje i ilości odpadów, które mogą być przetwarzane;</w:t>
      </w:r>
    </w:p>
    <w:p w:rsidR="00B1146D" w:rsidRDefault="00717A52">
      <w:pPr>
        <w:spacing w:after="0"/>
        <w:ind w:left="373"/>
      </w:pPr>
      <w:r>
        <w:rPr>
          <w:color w:val="000000"/>
        </w:rPr>
        <w:t xml:space="preserve">b) dla każdego objętego zezwoleniem rodzaju procesu - wymogi techniczne i </w:t>
      </w:r>
      <w:r>
        <w:rPr>
          <w:color w:val="000000"/>
        </w:rPr>
        <w:t>inne wymogi właściwe dla danego obiektu;</w:t>
      </w:r>
    </w:p>
    <w:p w:rsidR="00B1146D" w:rsidRDefault="00717A52">
      <w:pPr>
        <w:spacing w:after="0"/>
        <w:ind w:left="373"/>
      </w:pPr>
      <w:r>
        <w:rPr>
          <w:color w:val="000000"/>
        </w:rPr>
        <w:t>c) środki bezpieczeństwa i ostrożności, które mają zostać zastosowane;</w:t>
      </w:r>
    </w:p>
    <w:p w:rsidR="00B1146D" w:rsidRDefault="00717A52">
      <w:pPr>
        <w:spacing w:after="0"/>
        <w:ind w:left="373"/>
      </w:pPr>
      <w:r>
        <w:rPr>
          <w:color w:val="000000"/>
        </w:rPr>
        <w:t>d) metodę, która ma być stosowana w odniesieniu do każdego rodzaju procesu;</w:t>
      </w:r>
    </w:p>
    <w:p w:rsidR="00B1146D" w:rsidRDefault="00717A52">
      <w:pPr>
        <w:spacing w:after="0"/>
        <w:ind w:left="373"/>
      </w:pPr>
      <w:r>
        <w:rPr>
          <w:color w:val="000000"/>
        </w:rPr>
        <w:t xml:space="preserve">e) czynności w zakresie monitorowania i kontroli, jakie mogą być </w:t>
      </w:r>
      <w:r>
        <w:rPr>
          <w:color w:val="000000"/>
        </w:rPr>
        <w:t>niezbędne;</w:t>
      </w:r>
    </w:p>
    <w:p w:rsidR="00B1146D" w:rsidRDefault="00717A52">
      <w:pPr>
        <w:spacing w:after="0"/>
        <w:ind w:left="373"/>
      </w:pPr>
      <w:r>
        <w:rPr>
          <w:color w:val="000000"/>
        </w:rPr>
        <w:t>f) zalecenia dotyczące zamknięcia obiektu i późniejszej ochrony, jakie mogą być niezbędne.</w:t>
      </w:r>
    </w:p>
    <w:p w:rsidR="00B1146D" w:rsidRDefault="00717A52">
      <w:pPr>
        <w:spacing w:before="26" w:after="0"/>
      </w:pPr>
      <w:r>
        <w:rPr>
          <w:color w:val="000000"/>
        </w:rPr>
        <w:t>2. Zezwolenia mogą być udzielane na czas określony i mogą być odnawialne.</w:t>
      </w:r>
    </w:p>
    <w:p w:rsidR="00B1146D" w:rsidRDefault="00717A52">
      <w:pPr>
        <w:spacing w:before="26" w:after="0"/>
      </w:pPr>
      <w:r>
        <w:rPr>
          <w:color w:val="000000"/>
        </w:rPr>
        <w:t>3. Jeżeli właściwy organ uzna, że planowana metoda przetwarzania jest niedopuszc</w:t>
      </w:r>
      <w:r>
        <w:rPr>
          <w:color w:val="000000"/>
        </w:rPr>
        <w:t>zalna z punktu widzenia ochrony środowiska, zwłaszcza jeżeli metoda ta jest niezgodna z art. 13, odmawia udzielenia zezwolenia.</w:t>
      </w:r>
    </w:p>
    <w:p w:rsidR="00B1146D" w:rsidRDefault="00717A52">
      <w:pPr>
        <w:spacing w:before="26" w:after="0"/>
      </w:pPr>
      <w:r>
        <w:rPr>
          <w:color w:val="000000"/>
        </w:rPr>
        <w:t xml:space="preserve">4. Każde zezwolenie obejmujące spalanie lub współspalanie z odzyskiem energii zawiera warunek, że odzyskiwanie energii ma się </w:t>
      </w:r>
      <w:r>
        <w:rPr>
          <w:color w:val="000000"/>
        </w:rPr>
        <w:t>odbywać przy wysokim poziomie efektywności energetycznej.</w:t>
      </w:r>
    </w:p>
    <w:p w:rsidR="00B1146D" w:rsidRDefault="00717A52">
      <w:pPr>
        <w:spacing w:before="26" w:after="0"/>
      </w:pPr>
      <w:r>
        <w:rPr>
          <w:color w:val="000000"/>
        </w:rPr>
        <w:t>5. Pod warunkiem spełnienia wszystkich wymogów niniejszego artykułu, wszelkie zezwolenia wydawane na podstawie innych przepisów krajowych lub wspólnotowych mogą być połączone z zezwoleniem, o którym</w:t>
      </w:r>
      <w:r>
        <w:rPr>
          <w:color w:val="000000"/>
        </w:rPr>
        <w:t xml:space="preserve"> mowa w ust. 1, w jedno zezwolenie w przypadku, kiedy taki format zapobiega niepotrzebnemu powielaniu informacji i powtarzaniu pracy operatora lub właściwego organu.</w:t>
      </w:r>
    </w:p>
    <w:p w:rsidR="00B1146D" w:rsidRDefault="00B1146D">
      <w:pPr>
        <w:spacing w:before="80" w:after="0"/>
      </w:pPr>
    </w:p>
    <w:p w:rsidR="00B1146D" w:rsidRDefault="00717A52">
      <w:pPr>
        <w:spacing w:after="0"/>
      </w:pPr>
      <w:r>
        <w:rPr>
          <w:b/>
          <w:color w:val="000000"/>
        </w:rPr>
        <w:t xml:space="preserve">Artykuł  24 </w:t>
      </w:r>
    </w:p>
    <w:p w:rsidR="00B1146D" w:rsidRDefault="00717A52">
      <w:pPr>
        <w:spacing w:after="0"/>
      </w:pPr>
      <w:r>
        <w:rPr>
          <w:b/>
          <w:color w:val="000000"/>
        </w:rPr>
        <w:t>Zwolnienia od wymogu posiadania zezwolenia</w:t>
      </w:r>
    </w:p>
    <w:p w:rsidR="00B1146D" w:rsidRDefault="00717A52">
      <w:pPr>
        <w:spacing w:before="25" w:after="0"/>
        <w:jc w:val="both"/>
      </w:pPr>
      <w:r>
        <w:rPr>
          <w:color w:val="000000"/>
        </w:rPr>
        <w:t>Państwa członkowskie mogą zwolnić</w:t>
      </w:r>
      <w:r>
        <w:rPr>
          <w:color w:val="000000"/>
        </w:rPr>
        <w:t xml:space="preserve"> z wymogu określonego w art. 23 ust. 1 zakłady lub przedsiębiorstwa wykonujące następujące czynności:</w:t>
      </w:r>
    </w:p>
    <w:p w:rsidR="00B1146D" w:rsidRDefault="00717A52">
      <w:pPr>
        <w:spacing w:after="0"/>
        <w:ind w:left="373"/>
      </w:pPr>
      <w:r>
        <w:rPr>
          <w:color w:val="000000"/>
        </w:rPr>
        <w:t>a) unieszkodliwianie w miejscu wytwarzania własnych odpadów niebędących niebezpiecznymi; lub</w:t>
      </w:r>
    </w:p>
    <w:p w:rsidR="00B1146D" w:rsidRDefault="00717A52">
      <w:pPr>
        <w:spacing w:after="0"/>
        <w:ind w:left="373"/>
      </w:pPr>
      <w:r>
        <w:rPr>
          <w:color w:val="000000"/>
        </w:rPr>
        <w:t>b) odzysk odpadów.</w:t>
      </w:r>
    </w:p>
    <w:p w:rsidR="00B1146D" w:rsidRDefault="00B1146D">
      <w:pPr>
        <w:spacing w:before="80" w:after="0"/>
      </w:pPr>
    </w:p>
    <w:p w:rsidR="00B1146D" w:rsidRDefault="00717A52">
      <w:pPr>
        <w:spacing w:after="0"/>
      </w:pPr>
      <w:r>
        <w:rPr>
          <w:b/>
          <w:color w:val="000000"/>
        </w:rPr>
        <w:t xml:space="preserve">Artykuł  25 </w:t>
      </w:r>
    </w:p>
    <w:p w:rsidR="00B1146D" w:rsidRDefault="00717A52">
      <w:pPr>
        <w:spacing w:after="0"/>
      </w:pPr>
      <w:r>
        <w:rPr>
          <w:b/>
          <w:color w:val="000000"/>
        </w:rPr>
        <w:t>Warunki zwolnienia</w:t>
      </w:r>
    </w:p>
    <w:p w:rsidR="00B1146D" w:rsidRDefault="00717A52">
      <w:pPr>
        <w:spacing w:before="26" w:after="0"/>
      </w:pPr>
      <w:r>
        <w:rPr>
          <w:color w:val="000000"/>
        </w:rPr>
        <w:t>1. Jeżeli</w:t>
      </w:r>
      <w:r>
        <w:rPr>
          <w:color w:val="000000"/>
        </w:rPr>
        <w:t xml:space="preserve"> państwo członkowskie chce skorzystać ze zwolnień na mocy art. 24, ustanawia ono, w odniesieniu do każdego rodzaju działalności, ogólne zasady określające rodzaje i ilości odpadów, jakie mogą być objęte zwolnieniem, oraz metodę przetwarzania, jaka ma być z</w:t>
      </w:r>
      <w:r>
        <w:rPr>
          <w:color w:val="000000"/>
        </w:rPr>
        <w:t>astosowana.</w:t>
      </w:r>
    </w:p>
    <w:p w:rsidR="00B1146D" w:rsidRDefault="00717A52">
      <w:pPr>
        <w:spacing w:before="25" w:after="0"/>
        <w:jc w:val="both"/>
      </w:pPr>
      <w:r>
        <w:rPr>
          <w:color w:val="000000"/>
        </w:rPr>
        <w:t>Zasady te powinny być zaprojektowane w sposób zapewniający, aby odpady były przetwarzane zgodnie z art. 13. W przypadku procesów unieszkodliwiania, o których mowa w art. 24 lit. a), zasady te powinny uwzględnić najlepsze dostępne techniki.</w:t>
      </w:r>
    </w:p>
    <w:p w:rsidR="00B1146D" w:rsidRDefault="00717A52">
      <w:pPr>
        <w:spacing w:before="26" w:after="0"/>
      </w:pPr>
      <w:r>
        <w:rPr>
          <w:color w:val="000000"/>
        </w:rPr>
        <w:t>2. O</w:t>
      </w:r>
      <w:r>
        <w:rPr>
          <w:color w:val="000000"/>
        </w:rPr>
        <w:t>prócz zasad ogólnych przewidzianych w ust. 1, państwa członkowskie ustanawiają szczegółowe warunki zwolnień w zakresie odpadów niebezpiecznych, obejmujących rodzaje działalności, jak również wszelkie inne konieczne wymogi prowadzenia różnych form odzysku o</w:t>
      </w:r>
      <w:r>
        <w:rPr>
          <w:color w:val="000000"/>
        </w:rPr>
        <w:t>dpadów, a także, tam gdzie to istotne, dopuszczalne wielkości zawartości substancji niebezpiecznych w odpadach oraz dopuszczalne wielkości emisji.</w:t>
      </w:r>
    </w:p>
    <w:p w:rsidR="00B1146D" w:rsidRDefault="00717A52">
      <w:pPr>
        <w:spacing w:before="26" w:after="0"/>
      </w:pPr>
      <w:r>
        <w:rPr>
          <w:color w:val="000000"/>
        </w:rPr>
        <w:t>3. Państwa członkowskie informują Komisję o zasadach ogólnych ustanowionych zgodnie z ust. 1 i 2.</w:t>
      </w:r>
    </w:p>
    <w:p w:rsidR="00B1146D" w:rsidRDefault="00B1146D">
      <w:pPr>
        <w:spacing w:before="80" w:after="0"/>
      </w:pPr>
    </w:p>
    <w:p w:rsidR="00B1146D" w:rsidRDefault="00717A52">
      <w:pPr>
        <w:spacing w:after="0"/>
      </w:pPr>
      <w:r>
        <w:rPr>
          <w:b/>
          <w:color w:val="000000"/>
        </w:rPr>
        <w:t>Artykuł  2</w:t>
      </w:r>
      <w:r>
        <w:rPr>
          <w:b/>
          <w:color w:val="000000"/>
        </w:rPr>
        <w:t xml:space="preserve">6 </w:t>
      </w:r>
    </w:p>
    <w:p w:rsidR="00B1146D" w:rsidRDefault="00717A52">
      <w:pPr>
        <w:spacing w:after="0"/>
      </w:pPr>
      <w:r>
        <w:rPr>
          <w:b/>
          <w:color w:val="000000"/>
        </w:rPr>
        <w:t>Rejestracja</w:t>
      </w:r>
    </w:p>
    <w:p w:rsidR="00B1146D" w:rsidRDefault="00717A52">
      <w:pPr>
        <w:spacing w:before="25" w:after="0"/>
        <w:jc w:val="both"/>
      </w:pPr>
      <w:r>
        <w:rPr>
          <w:color w:val="000000"/>
        </w:rPr>
        <w:t>O ile poniżej wymienione podmioty nie podlegają wymogom uzyskania zezwolenia, państwa członkowskie zapewniają, aby właściwy organ prowadził rejestr:</w:t>
      </w:r>
    </w:p>
    <w:p w:rsidR="00B1146D" w:rsidRDefault="00717A52">
      <w:pPr>
        <w:spacing w:after="0"/>
        <w:ind w:left="373"/>
      </w:pPr>
      <w:r>
        <w:rPr>
          <w:color w:val="000000"/>
        </w:rPr>
        <w:t>a) zakładów lub przedsiębiorstw zajmujących się zawodowo zbieraniem lub transportem odpadów;</w:t>
      </w:r>
    </w:p>
    <w:p w:rsidR="00B1146D" w:rsidRDefault="00717A52">
      <w:pPr>
        <w:spacing w:after="0"/>
        <w:ind w:left="373"/>
      </w:pPr>
      <w:r>
        <w:rPr>
          <w:color w:val="000000"/>
        </w:rPr>
        <w:t>b) dealerów lub brokerów; oraz</w:t>
      </w:r>
    </w:p>
    <w:p w:rsidR="00B1146D" w:rsidRDefault="00717A52">
      <w:pPr>
        <w:spacing w:after="0"/>
        <w:ind w:left="373"/>
      </w:pPr>
      <w:r>
        <w:rPr>
          <w:color w:val="000000"/>
        </w:rPr>
        <w:t>c) zakładów lub przedsiębiorstw, które podlegają zwolnieniom z wymogów posiadania zezwoleń zgodnie z art. 24.</w:t>
      </w:r>
    </w:p>
    <w:p w:rsidR="00B1146D" w:rsidRDefault="00717A52">
      <w:pPr>
        <w:spacing w:before="25" w:after="0"/>
        <w:ind w:left="373"/>
        <w:jc w:val="both"/>
      </w:pPr>
      <w:r>
        <w:rPr>
          <w:color w:val="000000"/>
        </w:rPr>
        <w:t>W przypadkach gdy jest to możliwe, istniejące rejestry prowadzone przez właściwe organy są wykorzystywane do uzysk</w:t>
      </w:r>
      <w:r>
        <w:rPr>
          <w:color w:val="000000"/>
        </w:rPr>
        <w:t>ania istotnych informacji dotyczących takiego procesu rejestracji w celu ograniczenia wymogów administracyjnych.</w:t>
      </w:r>
    </w:p>
    <w:p w:rsidR="00B1146D" w:rsidRDefault="00B1146D">
      <w:pPr>
        <w:spacing w:before="80" w:after="0"/>
      </w:pPr>
    </w:p>
    <w:p w:rsidR="00B1146D" w:rsidRDefault="00717A52">
      <w:pPr>
        <w:spacing w:after="0"/>
      </w:pPr>
      <w:r>
        <w:rPr>
          <w:b/>
          <w:color w:val="000000"/>
        </w:rPr>
        <w:t xml:space="preserve">Artykuł  27 </w:t>
      </w:r>
    </w:p>
    <w:p w:rsidR="00B1146D" w:rsidRDefault="00717A52">
      <w:pPr>
        <w:spacing w:after="0"/>
      </w:pPr>
      <w:r>
        <w:rPr>
          <w:b/>
          <w:color w:val="000000"/>
        </w:rPr>
        <w:t>Standardy minimalne</w:t>
      </w:r>
    </w:p>
    <w:p w:rsidR="00B1146D" w:rsidRDefault="00717A52">
      <w:pPr>
        <w:spacing w:before="26" w:after="0"/>
      </w:pPr>
      <w:r>
        <w:rPr>
          <w:color w:val="000000"/>
        </w:rPr>
        <w:t xml:space="preserve">1. Minimalne standardy techniczne dla czynności przetwarzania wymagających zezwolenia na mocy art. 23 mogą </w:t>
      </w:r>
      <w:r>
        <w:rPr>
          <w:color w:val="000000"/>
        </w:rPr>
        <w:t>być przyjmowane, w przypadkach gdy istnieją dowody, że takie standardy minimalne mogą przynieść korzyści w kategoriach ochrony zdrowia ludzkiego i środowiska. Środki te mające na celu zmianę innych niż istotne elementów niniejszej dyrektywy poprzez jej uzu</w:t>
      </w:r>
      <w:r>
        <w:rPr>
          <w:color w:val="000000"/>
        </w:rPr>
        <w:t>pełnienie są przyjmowane zgodnie z procedurą regulacyjną popaczoną z kontrolą, o której mowa w art. 39 ust. 2.</w:t>
      </w:r>
    </w:p>
    <w:p w:rsidR="00B1146D" w:rsidRDefault="00717A52">
      <w:pPr>
        <w:spacing w:before="26" w:after="0"/>
      </w:pPr>
      <w:r>
        <w:rPr>
          <w:color w:val="000000"/>
        </w:rPr>
        <w:t xml:space="preserve">2. Takie standardy minimalne obejmują wyłącznie te czynności przetwarzania odpadów, które nie są objęte zakresem stosowania </w:t>
      </w:r>
      <w:r>
        <w:rPr>
          <w:color w:val="1B1B1B"/>
        </w:rPr>
        <w:t>dyrektywy</w:t>
      </w:r>
      <w:r>
        <w:rPr>
          <w:color w:val="000000"/>
        </w:rPr>
        <w:t xml:space="preserve"> 96/61/WE lu</w:t>
      </w:r>
      <w:r>
        <w:rPr>
          <w:color w:val="000000"/>
        </w:rPr>
        <w:t xml:space="preserve">b nie nadają się do objęcia zakresem stosowania tej </w:t>
      </w:r>
      <w:r>
        <w:rPr>
          <w:color w:val="1B1B1B"/>
        </w:rPr>
        <w:t>dyrektywy</w:t>
      </w:r>
      <w:r>
        <w:rPr>
          <w:color w:val="000000"/>
        </w:rPr>
        <w:t>.</w:t>
      </w:r>
    </w:p>
    <w:p w:rsidR="00B1146D" w:rsidRDefault="00717A52">
      <w:pPr>
        <w:spacing w:before="26" w:after="0"/>
      </w:pPr>
      <w:r>
        <w:rPr>
          <w:color w:val="000000"/>
        </w:rPr>
        <w:t>3. Takie standardy minimalne:</w:t>
      </w:r>
    </w:p>
    <w:p w:rsidR="00B1146D" w:rsidRDefault="00717A52">
      <w:pPr>
        <w:spacing w:after="0"/>
        <w:ind w:left="373"/>
      </w:pPr>
      <w:r>
        <w:rPr>
          <w:color w:val="000000"/>
        </w:rPr>
        <w:t>a) dotyczą głównych oddziaływań na środowisko danej czynności przetwarzania odpadów;</w:t>
      </w:r>
    </w:p>
    <w:p w:rsidR="00B1146D" w:rsidRDefault="00717A52">
      <w:pPr>
        <w:spacing w:after="0"/>
        <w:ind w:left="373"/>
      </w:pPr>
      <w:r>
        <w:rPr>
          <w:color w:val="000000"/>
        </w:rPr>
        <w:t>b) zapewniają przetwarzanie odpadów zgodnie z art. 13;</w:t>
      </w:r>
    </w:p>
    <w:p w:rsidR="00B1146D" w:rsidRDefault="00717A52">
      <w:pPr>
        <w:spacing w:after="0"/>
        <w:ind w:left="373"/>
      </w:pPr>
      <w:r>
        <w:rPr>
          <w:color w:val="000000"/>
        </w:rPr>
        <w:t>c) uwzględniają najleps</w:t>
      </w:r>
      <w:r>
        <w:rPr>
          <w:color w:val="000000"/>
        </w:rPr>
        <w:t>ze dostępne techniki; oraz</w:t>
      </w:r>
    </w:p>
    <w:p w:rsidR="00B1146D" w:rsidRDefault="00717A52">
      <w:pPr>
        <w:spacing w:after="0"/>
        <w:ind w:left="373"/>
      </w:pPr>
      <w:r>
        <w:rPr>
          <w:color w:val="000000"/>
        </w:rPr>
        <w:t>d) w odpowiednich przypadkach, obejmują elementy jakości przetwarzania i wymogów technologicznych.</w:t>
      </w:r>
    </w:p>
    <w:p w:rsidR="00B1146D" w:rsidRDefault="00717A52">
      <w:pPr>
        <w:spacing w:before="25" w:after="0"/>
        <w:ind w:left="373"/>
        <w:jc w:val="both"/>
      </w:pPr>
      <w:r>
        <w:rPr>
          <w:color w:val="000000"/>
        </w:rPr>
        <w:t>4. Standardy minimalne dla czynności wymagających rejestracji na mocy art. 26 lit. a) i b) są przyjmowane w przypadkach, gdy istni</w:t>
      </w:r>
      <w:r>
        <w:rPr>
          <w:color w:val="000000"/>
        </w:rPr>
        <w:t>eją dowody, że takie standardy minimalne, obejmujące również kwalifikacje techniczne podmiotów zajmujących się zbieraniem i transportem, dealerów lub brokerów, mogą przynieść korzyści w kategoriach ochrony zdrowia ludzkiego i środowiska lub uniknięcia zakł</w:t>
      </w:r>
      <w:r>
        <w:rPr>
          <w:color w:val="000000"/>
        </w:rPr>
        <w:t>óceń na rynku wewnętrznym.</w:t>
      </w:r>
    </w:p>
    <w:p w:rsidR="00B1146D" w:rsidRDefault="00717A52">
      <w:pPr>
        <w:spacing w:before="25" w:after="0"/>
        <w:ind w:left="373"/>
        <w:jc w:val="both"/>
      </w:pPr>
      <w:r>
        <w:rPr>
          <w:color w:val="000000"/>
        </w:rPr>
        <w:t>Środki te, mające na celu zmianę innych niż istotne elementów niniejszej dyrektywy poprzez jej uzupełnienie, są przyjmowane zgodnie z procedurą regulacyjną połączoną z kontrolą, o której mowa w art. 39 ust. 2.</w:t>
      </w:r>
    </w:p>
    <w:p w:rsidR="00B1146D" w:rsidRDefault="00B1146D">
      <w:pPr>
        <w:spacing w:after="0"/>
      </w:pPr>
    </w:p>
    <w:p w:rsidR="00B1146D" w:rsidRDefault="00717A52">
      <w:pPr>
        <w:spacing w:before="146" w:after="0"/>
        <w:jc w:val="center"/>
      </w:pPr>
      <w:r>
        <w:rPr>
          <w:b/>
          <w:color w:val="000000"/>
        </w:rPr>
        <w:t xml:space="preserve">ROZDZIAŁ  V </w:t>
      </w:r>
    </w:p>
    <w:p w:rsidR="00B1146D" w:rsidRDefault="00717A52">
      <w:pPr>
        <w:spacing w:before="25" w:after="0"/>
        <w:jc w:val="center"/>
      </w:pPr>
      <w:r>
        <w:rPr>
          <w:b/>
          <w:color w:val="000000"/>
        </w:rPr>
        <w:t>PLANY</w:t>
      </w:r>
      <w:r>
        <w:rPr>
          <w:b/>
          <w:color w:val="000000"/>
        </w:rPr>
        <w:t xml:space="preserve"> I PROGRAMY</w:t>
      </w:r>
    </w:p>
    <w:p w:rsidR="00B1146D" w:rsidRDefault="00B1146D">
      <w:pPr>
        <w:spacing w:before="80" w:after="0"/>
      </w:pPr>
    </w:p>
    <w:p w:rsidR="00B1146D" w:rsidRDefault="00717A52">
      <w:pPr>
        <w:spacing w:after="0"/>
      </w:pPr>
      <w:r>
        <w:rPr>
          <w:b/>
          <w:color w:val="000000"/>
        </w:rPr>
        <w:t xml:space="preserve">Artykuł  28 </w:t>
      </w:r>
    </w:p>
    <w:p w:rsidR="00B1146D" w:rsidRDefault="00717A52">
      <w:pPr>
        <w:spacing w:after="0"/>
      </w:pPr>
      <w:r>
        <w:rPr>
          <w:b/>
          <w:color w:val="000000"/>
        </w:rPr>
        <w:t>Plany gospodarki odpadami</w:t>
      </w:r>
    </w:p>
    <w:p w:rsidR="00B1146D" w:rsidRDefault="00717A52">
      <w:pPr>
        <w:spacing w:before="26" w:after="0"/>
      </w:pPr>
      <w:r>
        <w:rPr>
          <w:color w:val="000000"/>
        </w:rPr>
        <w:t>1. Państwa członkowskie zapewniają, aby ich właściwe organy opracowały co najmniej jeden plan gospodarki odpadami zgodnie z art. 1, 4, 13 i 16.</w:t>
      </w:r>
    </w:p>
    <w:p w:rsidR="00B1146D" w:rsidRDefault="00717A52">
      <w:pPr>
        <w:spacing w:before="25" w:after="0"/>
        <w:jc w:val="both"/>
      </w:pPr>
      <w:r>
        <w:rPr>
          <w:color w:val="000000"/>
        </w:rPr>
        <w:t xml:space="preserve">Plany te z osobna lub łącznie pokrywają cały obszar </w:t>
      </w:r>
      <w:r>
        <w:rPr>
          <w:color w:val="000000"/>
        </w:rPr>
        <w:t>geograficzny danego państwa członkowskiego.</w:t>
      </w:r>
    </w:p>
    <w:p w:rsidR="00B1146D" w:rsidRDefault="00717A52">
      <w:pPr>
        <w:spacing w:before="26" w:after="0"/>
      </w:pPr>
      <w:r>
        <w:rPr>
          <w:color w:val="000000"/>
        </w:rPr>
        <w:t>2. Plany gospodarki odpadami, zawierają analizę bieżącej sytuacji w zakresie gospodarowania odpadami na danym obszarze geograficznym, jak również określają środki, jakie należy zastosować, aby udoskonalić racjona</w:t>
      </w:r>
      <w:r>
        <w:rPr>
          <w:color w:val="000000"/>
        </w:rPr>
        <w:t>lne z punktu widzenia środowiska przygotowanie do ponownego użycia, recyklingu, odzysku oraz unieszkodliwiania odpadów i ocenę tego, w jaki sposób plan wspiera realizację celów i przepisów niniejszej dyrektywy.</w:t>
      </w:r>
    </w:p>
    <w:p w:rsidR="00B1146D" w:rsidRDefault="00717A52">
      <w:pPr>
        <w:spacing w:before="26" w:after="0"/>
      </w:pPr>
      <w:r>
        <w:rPr>
          <w:color w:val="000000"/>
        </w:rPr>
        <w:t>3. Plan gospodarki odpadami zawiera, w odpowi</w:t>
      </w:r>
      <w:r>
        <w:rPr>
          <w:color w:val="000000"/>
        </w:rPr>
        <w:t>ednich przypadkach i z uwzględnieniem poziomu geograficznego i pokrycia danego obszaru planowania, przynajmniej następujące informacje:</w:t>
      </w:r>
    </w:p>
    <w:p w:rsidR="00B1146D" w:rsidRDefault="00717A52">
      <w:pPr>
        <w:spacing w:after="0"/>
        <w:ind w:left="373"/>
      </w:pPr>
      <w:r>
        <w:rPr>
          <w:color w:val="000000"/>
        </w:rPr>
        <w:t xml:space="preserve">a) rodzaj, ilość i źródło odpadów powstających na danym terytorium; odpady, które prawdopodobnie zostaną przemieszczone </w:t>
      </w:r>
      <w:r>
        <w:rPr>
          <w:color w:val="000000"/>
        </w:rPr>
        <w:t>poza terytorium kraju lub na nie, a także ocenę kształtowania się strumieni odpadów w przyszłości;</w:t>
      </w:r>
    </w:p>
    <w:p w:rsidR="00B1146D" w:rsidRDefault="00717A52">
      <w:pPr>
        <w:spacing w:after="0"/>
        <w:ind w:left="373"/>
      </w:pPr>
      <w:r>
        <w:rPr>
          <w:color w:val="000000"/>
        </w:rPr>
        <w:t xml:space="preserve">b) obowiązujące dotychczas systemy zbierania odpadów oraz większe instalacje do unieszkodliwiania i odzysku odpadów, w tym wszelkie szczególne rozwiązania </w:t>
      </w:r>
      <w:r>
        <w:rPr>
          <w:color w:val="000000"/>
        </w:rPr>
        <w:t>dotyczące olejów odpadowych, odpadów niebezpiecznych lub strumieni odpadów objętych szczegółowymi przepisami wspólnotowymi;</w:t>
      </w:r>
    </w:p>
    <w:p w:rsidR="00B1146D" w:rsidRDefault="00717A52">
      <w:pPr>
        <w:spacing w:after="0"/>
        <w:ind w:left="373"/>
      </w:pPr>
      <w:r>
        <w:rPr>
          <w:color w:val="000000"/>
        </w:rPr>
        <w:t>c) ocenę potrzeby tworzenia nowych systemów zbierania, zamknięcia istniejących obiektów, dodatkowej infrastruktury na potrzeby odpad</w:t>
      </w:r>
      <w:r>
        <w:rPr>
          <w:color w:val="000000"/>
        </w:rPr>
        <w:t>ów zgodnie z art. 16 oraz, w razie potrzeby, inwestycji związanych z powyższym;</w:t>
      </w:r>
    </w:p>
    <w:p w:rsidR="00B1146D" w:rsidRDefault="00717A52">
      <w:pPr>
        <w:spacing w:after="0"/>
        <w:ind w:left="373"/>
      </w:pPr>
      <w:r>
        <w:rPr>
          <w:color w:val="000000"/>
        </w:rPr>
        <w:t>d) w razie potrzeby wystarczające informacje dotyczące kryteriów lokalizacji do celów identyfikacji obiektów oraz wydolności przyszłych instalacji do unieszkodliwiania lub więk</w:t>
      </w:r>
      <w:r>
        <w:rPr>
          <w:color w:val="000000"/>
        </w:rPr>
        <w:t>szych instalacji do odzysku;</w:t>
      </w:r>
    </w:p>
    <w:p w:rsidR="00B1146D" w:rsidRDefault="00717A52">
      <w:pPr>
        <w:spacing w:after="0"/>
        <w:ind w:left="373"/>
      </w:pPr>
      <w:r>
        <w:rPr>
          <w:color w:val="000000"/>
        </w:rPr>
        <w:t>e) ogólną politykę w sprawie gospodarowania odpadami, wraz z planowanymi technologiami i metodami gospodarowania odpadami lub polityki w sprawie odpadów powodujących konkretne problemy w gospodarowaniu odpadami.</w:t>
      </w:r>
    </w:p>
    <w:p w:rsidR="00B1146D" w:rsidRDefault="00717A52">
      <w:pPr>
        <w:spacing w:before="26" w:after="0"/>
      </w:pPr>
      <w:r>
        <w:rPr>
          <w:color w:val="000000"/>
        </w:rPr>
        <w:t>4. Plan gospoda</w:t>
      </w:r>
      <w:r>
        <w:rPr>
          <w:color w:val="000000"/>
        </w:rPr>
        <w:t>rki odpadami może zawierać, z uwzględnieniem poziomu geograficznego i pokrycia danego obszaru planowania, następujące informacje:</w:t>
      </w:r>
    </w:p>
    <w:p w:rsidR="00B1146D" w:rsidRDefault="00717A52">
      <w:pPr>
        <w:spacing w:after="0"/>
        <w:ind w:left="373"/>
      </w:pPr>
      <w:r>
        <w:rPr>
          <w:color w:val="000000"/>
        </w:rPr>
        <w:t>a) aspekty organizacyjne związane z gospodarowaniem odpadami, w tym również opis podziału odpowiedzialności między podmioty pu</w:t>
      </w:r>
      <w:r>
        <w:rPr>
          <w:color w:val="000000"/>
        </w:rPr>
        <w:t>bliczne i prywatne zajmujące się gospodarowaniem odpadami;</w:t>
      </w:r>
    </w:p>
    <w:p w:rsidR="00B1146D" w:rsidRDefault="00717A52">
      <w:pPr>
        <w:spacing w:after="0"/>
        <w:ind w:left="373"/>
      </w:pPr>
      <w:r>
        <w:rPr>
          <w:color w:val="000000"/>
        </w:rPr>
        <w:t>b) ocenę użyteczności i przydatności stosowania instrumentów ekonomicznych i innych do rozwiązywania problemów związanych z odpadami, z uwzględnieniem potrzeby utrzymywania niezakłóconego funkcjono</w:t>
      </w:r>
      <w:r>
        <w:rPr>
          <w:color w:val="000000"/>
        </w:rPr>
        <w:t>wania rynku wewnętrznego;</w:t>
      </w:r>
    </w:p>
    <w:p w:rsidR="00B1146D" w:rsidRDefault="00717A52">
      <w:pPr>
        <w:spacing w:after="0"/>
        <w:ind w:left="373"/>
      </w:pPr>
      <w:r>
        <w:rPr>
          <w:color w:val="000000"/>
        </w:rPr>
        <w:t>c) wykorzystywanie kampanii informacyjnych i kierowanie informacji do ogółu społeczeństwa lub konkretnej grupy konsumentów;</w:t>
      </w:r>
    </w:p>
    <w:p w:rsidR="00B1146D" w:rsidRDefault="00717A52">
      <w:pPr>
        <w:spacing w:after="0"/>
        <w:ind w:left="373"/>
      </w:pPr>
      <w:r>
        <w:rPr>
          <w:color w:val="000000"/>
        </w:rPr>
        <w:t>d) skażone w przeszłości miejsca unieszkodliwiania odpadów i środki dla ich przywrócenia do poziomu wymaga</w:t>
      </w:r>
      <w:r>
        <w:rPr>
          <w:color w:val="000000"/>
        </w:rPr>
        <w:t>ń prawnych.</w:t>
      </w:r>
    </w:p>
    <w:p w:rsidR="00B1146D" w:rsidRDefault="00717A52">
      <w:pPr>
        <w:spacing w:before="26" w:after="0"/>
      </w:pPr>
      <w:r>
        <w:rPr>
          <w:color w:val="000000"/>
        </w:rPr>
        <w:t xml:space="preserve">5. Plany gospodarki odpadami są zgodne z wymogami dotyczącymi planowania gospodarowania odpadami, określonymi w </w:t>
      </w:r>
      <w:r>
        <w:rPr>
          <w:color w:val="1B1B1B"/>
        </w:rPr>
        <w:t>art. 14</w:t>
      </w:r>
      <w:r>
        <w:rPr>
          <w:color w:val="000000"/>
        </w:rPr>
        <w:t xml:space="preserve"> dyrektywy 94/62/WE, oraz strategią wdrażającą cel w zakresie zmniejszenia ilości odpadów ulegających biodegradacji kierowany</w:t>
      </w:r>
      <w:r>
        <w:rPr>
          <w:color w:val="000000"/>
        </w:rPr>
        <w:t xml:space="preserve">ch na składowiska odpadów, o której mowa w </w:t>
      </w:r>
      <w:r>
        <w:rPr>
          <w:color w:val="1B1B1B"/>
        </w:rPr>
        <w:t>art. 5</w:t>
      </w:r>
      <w:r>
        <w:rPr>
          <w:color w:val="000000"/>
        </w:rPr>
        <w:t xml:space="preserve"> dyrektywy 1999/31/WE.</w:t>
      </w:r>
    </w:p>
    <w:p w:rsidR="00B1146D" w:rsidRDefault="00B1146D">
      <w:pPr>
        <w:spacing w:before="80" w:after="0"/>
      </w:pPr>
    </w:p>
    <w:p w:rsidR="00B1146D" w:rsidRDefault="00717A52">
      <w:pPr>
        <w:spacing w:after="0"/>
      </w:pPr>
      <w:r>
        <w:rPr>
          <w:b/>
          <w:color w:val="000000"/>
        </w:rPr>
        <w:t xml:space="preserve">Artykuł  29 </w:t>
      </w:r>
    </w:p>
    <w:p w:rsidR="00B1146D" w:rsidRDefault="00717A52">
      <w:pPr>
        <w:spacing w:after="0"/>
      </w:pPr>
      <w:r>
        <w:rPr>
          <w:b/>
          <w:color w:val="000000"/>
        </w:rPr>
        <w:t>Programy zapobiegania powstawaniu odpadów</w:t>
      </w:r>
    </w:p>
    <w:p w:rsidR="00B1146D" w:rsidRDefault="00717A52">
      <w:pPr>
        <w:spacing w:before="26" w:after="0"/>
      </w:pPr>
      <w:r>
        <w:rPr>
          <w:color w:val="000000"/>
        </w:rPr>
        <w:t>1. Państwa członkowskie opracowują, zgodnie z art. 1 i 4, programy zapobiegania powstawaniu odpadów nie później niż do dnia 12 g</w:t>
      </w:r>
      <w:r>
        <w:rPr>
          <w:color w:val="000000"/>
        </w:rPr>
        <w:t>rudnia 2013 r.</w:t>
      </w:r>
    </w:p>
    <w:p w:rsidR="00B1146D" w:rsidRDefault="00717A52">
      <w:pPr>
        <w:spacing w:before="25" w:after="0"/>
        <w:jc w:val="both"/>
      </w:pPr>
      <w:r>
        <w:rPr>
          <w:color w:val="000000"/>
        </w:rPr>
        <w:t>Programy te są zintegrowane z planami gospodarki odpadami, przewidzianymi w art. 28, lub w stosownych przypadkach z innymi programami dotyczącymi polityki w dziedzinie środowiska, lub funkcjonują jako odrębne programy. W przypadku gdy taki p</w:t>
      </w:r>
      <w:r>
        <w:rPr>
          <w:color w:val="000000"/>
        </w:rPr>
        <w:t>rogram jest zintegrowany z planem gospodarowania odpadami lub innymi programami, środki służące zapobieganiu powstawania odpadów muszą zostać wyraźnie zdefiniowane.</w:t>
      </w:r>
    </w:p>
    <w:p w:rsidR="00B1146D" w:rsidRDefault="00717A52">
      <w:pPr>
        <w:spacing w:before="26" w:after="0"/>
      </w:pPr>
      <w:r>
        <w:rPr>
          <w:color w:val="000000"/>
        </w:rPr>
        <w:t>2. Programy określone w ust. 1 ustalają cele zapobiegania powstawaniu odpadów. Państwa czło</w:t>
      </w:r>
      <w:r>
        <w:rPr>
          <w:color w:val="000000"/>
        </w:rPr>
        <w:t>nkowskie opisują istniejące środki zapobiegawcze i oceniają użyteczność przykładów środków wskazanych w załączniku IV lub innych stosownych środków.</w:t>
      </w:r>
    </w:p>
    <w:p w:rsidR="00B1146D" w:rsidRDefault="00717A52">
      <w:pPr>
        <w:spacing w:before="25" w:after="0"/>
        <w:jc w:val="both"/>
      </w:pPr>
      <w:r>
        <w:rPr>
          <w:color w:val="000000"/>
        </w:rPr>
        <w:t>Celem takich celów i środków jest przerwanie powiązania pomiędzy wzrostem gospodarczym a wpływem na środowi</w:t>
      </w:r>
      <w:r>
        <w:rPr>
          <w:color w:val="000000"/>
        </w:rPr>
        <w:t>sko związanym z wytwarzaniem odpadów.</w:t>
      </w:r>
    </w:p>
    <w:p w:rsidR="00B1146D" w:rsidRDefault="00717A52">
      <w:pPr>
        <w:spacing w:before="26" w:after="0"/>
      </w:pPr>
      <w:r>
        <w:rPr>
          <w:color w:val="000000"/>
        </w:rPr>
        <w:t>3. Państwa członkowskie określają odpowiednie właściwe jakościowe lub ilościowe poziomy odniesienia dla przyjętych środków zapobiegania powstawaniu odpadów w celu nadzorowania i oceny postępu w zakresie tych środków, a</w:t>
      </w:r>
      <w:r>
        <w:rPr>
          <w:color w:val="000000"/>
        </w:rPr>
        <w:t xml:space="preserve"> także mogą w tym samym celu określać odpowiednie jakościowe i ilościowe cele i wskaźniki inne niż te, o których mowa w ust. 4.</w:t>
      </w:r>
    </w:p>
    <w:p w:rsidR="00B1146D" w:rsidRDefault="00717A52">
      <w:pPr>
        <w:spacing w:before="26" w:after="0"/>
      </w:pPr>
      <w:r>
        <w:rPr>
          <w:color w:val="000000"/>
        </w:rPr>
        <w:t>4. Wskaźniki dla środków zapobiegania powstawaniu odpadów mogą być przyjęte zgodnie z procedurą regulacyjną, o której mowa w art</w:t>
      </w:r>
      <w:r>
        <w:rPr>
          <w:color w:val="000000"/>
        </w:rPr>
        <w:t>. 39 ust. 3.</w:t>
      </w:r>
    </w:p>
    <w:p w:rsidR="00B1146D" w:rsidRDefault="00717A52">
      <w:pPr>
        <w:spacing w:before="26" w:after="0"/>
      </w:pPr>
      <w:r>
        <w:rPr>
          <w:color w:val="000000"/>
        </w:rPr>
        <w:t>5. Komisja tworzy system wymiany informacji na temat najlepszych praktyk w dziedzinie zapobiegania powstawaniu odpadów oraz opracowuje wytyczne, aby pomóc państwom członkowskim w przygotowaniu tych programów.</w:t>
      </w:r>
    </w:p>
    <w:p w:rsidR="00B1146D" w:rsidRDefault="00B1146D">
      <w:pPr>
        <w:spacing w:before="80" w:after="0"/>
      </w:pPr>
    </w:p>
    <w:p w:rsidR="00B1146D" w:rsidRDefault="00717A52">
      <w:pPr>
        <w:spacing w:after="0"/>
      </w:pPr>
      <w:r>
        <w:rPr>
          <w:b/>
          <w:color w:val="000000"/>
        </w:rPr>
        <w:t xml:space="preserve">Artykuł  30 </w:t>
      </w:r>
    </w:p>
    <w:p w:rsidR="00B1146D" w:rsidRDefault="00717A52">
      <w:pPr>
        <w:spacing w:after="0"/>
      </w:pPr>
      <w:r>
        <w:rPr>
          <w:b/>
          <w:color w:val="000000"/>
        </w:rPr>
        <w:t>Ocena i przegląd pla</w:t>
      </w:r>
      <w:r>
        <w:rPr>
          <w:b/>
          <w:color w:val="000000"/>
        </w:rPr>
        <w:t>nów i programów</w:t>
      </w:r>
    </w:p>
    <w:p w:rsidR="00B1146D" w:rsidRDefault="00717A52">
      <w:pPr>
        <w:spacing w:before="26" w:after="0"/>
      </w:pPr>
      <w:r>
        <w:rPr>
          <w:color w:val="000000"/>
        </w:rPr>
        <w:t>1. Państwa członkowskie zapewniają, aby plany gospodarki odpadami i programy zapobiegania powstawaniu odpadów były oceniane przynajmniej co sześć lat i zmieniane stosownie do potrzeb, a w odpowiednich przypadkach zgodnie z art. 9 i 11.</w:t>
      </w:r>
    </w:p>
    <w:p w:rsidR="00B1146D" w:rsidRDefault="00717A52">
      <w:pPr>
        <w:spacing w:before="26" w:after="0"/>
      </w:pPr>
      <w:r>
        <w:rPr>
          <w:color w:val="000000"/>
        </w:rPr>
        <w:t>2. W</w:t>
      </w:r>
      <w:r>
        <w:rPr>
          <w:color w:val="000000"/>
        </w:rPr>
        <w:t>zywa się Europejską Agencję Ochrony Środowiska do dołączania do swojego sprawozdania rocznego przeglądu postępów w realizacji i wdrażaniu programów zapobiegania powstawaniu odpadów.</w:t>
      </w:r>
    </w:p>
    <w:p w:rsidR="00B1146D" w:rsidRDefault="00B1146D">
      <w:pPr>
        <w:spacing w:before="80" w:after="0"/>
      </w:pPr>
    </w:p>
    <w:p w:rsidR="00B1146D" w:rsidRDefault="00717A52">
      <w:pPr>
        <w:spacing w:after="0"/>
      </w:pPr>
      <w:r>
        <w:rPr>
          <w:b/>
          <w:color w:val="000000"/>
        </w:rPr>
        <w:t xml:space="preserve">Artykuł  31 </w:t>
      </w:r>
    </w:p>
    <w:p w:rsidR="00B1146D" w:rsidRDefault="00717A52">
      <w:pPr>
        <w:spacing w:after="0"/>
      </w:pPr>
      <w:r>
        <w:rPr>
          <w:b/>
          <w:color w:val="000000"/>
        </w:rPr>
        <w:t>Udział społeczeństwa</w:t>
      </w:r>
    </w:p>
    <w:p w:rsidR="00B1146D" w:rsidRDefault="00717A52">
      <w:pPr>
        <w:spacing w:before="25" w:after="0"/>
        <w:jc w:val="both"/>
      </w:pPr>
      <w:r>
        <w:rPr>
          <w:color w:val="000000"/>
        </w:rPr>
        <w:t>Państwa członkowskie zapewniają, by zainteresowane strony i organy oraz ogół społeczeństwa miały możliwość udziału w opracowywaniu planów gospodarki odpadami i programów zapobiegania powstawaniu odpadów oraz by miały dostęp do opracowanych już planów i pro</w:t>
      </w:r>
      <w:r>
        <w:rPr>
          <w:color w:val="000000"/>
        </w:rPr>
        <w:t xml:space="preserve">gramów, zgodnie z </w:t>
      </w:r>
      <w:r>
        <w:rPr>
          <w:color w:val="1B1B1B"/>
        </w:rPr>
        <w:t>dyrektywą</w:t>
      </w:r>
      <w:r>
        <w:rPr>
          <w:color w:val="000000"/>
        </w:rPr>
        <w:t xml:space="preserve"> 2003/35/WE lub, jeżeli ma to zastosowanie, </w:t>
      </w:r>
      <w:r>
        <w:rPr>
          <w:color w:val="1B1B1B"/>
        </w:rPr>
        <w:t>dyrektywą</w:t>
      </w:r>
      <w:r>
        <w:rPr>
          <w:color w:val="000000"/>
        </w:rPr>
        <w:t xml:space="preserve"> 2001/42/WE Parlamentu Europejskiego i Rady z dnia 27 czerwca 2001 r. w sprawie oceny wpływu niektórych planów i programów na środowisko </w:t>
      </w:r>
      <w:r>
        <w:rPr>
          <w:color w:val="000000"/>
          <w:vertAlign w:val="superscript"/>
        </w:rPr>
        <w:t>27</w:t>
      </w:r>
      <w:r>
        <w:rPr>
          <w:color w:val="000000"/>
        </w:rPr>
        <w:t xml:space="preserve"> . Państwa członkowskie zamieszczają </w:t>
      </w:r>
      <w:r>
        <w:rPr>
          <w:color w:val="000000"/>
        </w:rPr>
        <w:t>te plany i programy w dostępnym publicznie portalu internetowym.</w:t>
      </w:r>
    </w:p>
    <w:p w:rsidR="00B1146D" w:rsidRDefault="00B1146D">
      <w:pPr>
        <w:spacing w:before="80" w:after="0"/>
      </w:pPr>
    </w:p>
    <w:p w:rsidR="00B1146D" w:rsidRDefault="00717A52">
      <w:pPr>
        <w:spacing w:after="0"/>
      </w:pPr>
      <w:r>
        <w:rPr>
          <w:b/>
          <w:color w:val="000000"/>
        </w:rPr>
        <w:t xml:space="preserve">Artykuł  32 </w:t>
      </w:r>
    </w:p>
    <w:p w:rsidR="00B1146D" w:rsidRDefault="00717A52">
      <w:pPr>
        <w:spacing w:after="0"/>
      </w:pPr>
      <w:r>
        <w:rPr>
          <w:b/>
          <w:color w:val="000000"/>
        </w:rPr>
        <w:t>Współpraca</w:t>
      </w:r>
    </w:p>
    <w:p w:rsidR="00B1146D" w:rsidRDefault="00717A52">
      <w:pPr>
        <w:spacing w:before="25" w:after="0"/>
        <w:jc w:val="both"/>
      </w:pPr>
      <w:r>
        <w:rPr>
          <w:color w:val="000000"/>
        </w:rPr>
        <w:t xml:space="preserve">Państwa członkowskie współpracują, w odpowiednich przypadkach, z innymi zainteresowanymi państwami członkowskimi i z Komisją w celu sporządzenia planów gospodarki </w:t>
      </w:r>
      <w:r>
        <w:rPr>
          <w:color w:val="000000"/>
        </w:rPr>
        <w:t>odpadami i programów zapobiegania powstawaniu odpadów, zgodnie z art. 28 i 29.</w:t>
      </w:r>
    </w:p>
    <w:p w:rsidR="00B1146D" w:rsidRDefault="00B1146D">
      <w:pPr>
        <w:spacing w:before="80" w:after="0"/>
      </w:pPr>
    </w:p>
    <w:p w:rsidR="00B1146D" w:rsidRDefault="00717A52">
      <w:pPr>
        <w:spacing w:after="0"/>
      </w:pPr>
      <w:r>
        <w:rPr>
          <w:b/>
          <w:color w:val="000000"/>
        </w:rPr>
        <w:t xml:space="preserve">Artykuł  33 </w:t>
      </w:r>
    </w:p>
    <w:p w:rsidR="00B1146D" w:rsidRDefault="00717A52">
      <w:pPr>
        <w:spacing w:after="0"/>
      </w:pPr>
      <w:r>
        <w:rPr>
          <w:b/>
          <w:color w:val="000000"/>
        </w:rPr>
        <w:t>Informacje, które mają zostać przedłożone Komisji</w:t>
      </w:r>
    </w:p>
    <w:p w:rsidR="00B1146D" w:rsidRDefault="00717A52">
      <w:pPr>
        <w:spacing w:before="26" w:after="0"/>
      </w:pPr>
      <w:r>
        <w:rPr>
          <w:color w:val="000000"/>
        </w:rPr>
        <w:t>1. Państwa członkowskie informują Komisję o planach gospodarki odpadami i programach zapobiegania powstawaniu odp</w:t>
      </w:r>
      <w:r>
        <w:rPr>
          <w:color w:val="000000"/>
        </w:rPr>
        <w:t>adów, o których mowa w art. 28 i 29, po ich przyjęciu oraz o wszelkich znacznych zmianach tych planów i programów.</w:t>
      </w:r>
    </w:p>
    <w:p w:rsidR="00B1146D" w:rsidRDefault="00717A52">
      <w:pPr>
        <w:spacing w:before="26" w:after="0"/>
      </w:pPr>
      <w:r>
        <w:rPr>
          <w:color w:val="000000"/>
        </w:rPr>
        <w:t>2. Format zawiadomienia o przyjęciu i istotnych zmianach tych planów i programów jest określany zgodnie z procedurą regulacyjną, o której mow</w:t>
      </w:r>
      <w:r>
        <w:rPr>
          <w:color w:val="000000"/>
        </w:rPr>
        <w:t>a w art. 39 ust. 3.</w:t>
      </w:r>
    </w:p>
    <w:p w:rsidR="00B1146D" w:rsidRDefault="00B1146D">
      <w:pPr>
        <w:spacing w:after="0"/>
      </w:pPr>
    </w:p>
    <w:p w:rsidR="00B1146D" w:rsidRDefault="00717A52">
      <w:pPr>
        <w:spacing w:before="146" w:after="0"/>
        <w:jc w:val="center"/>
      </w:pPr>
      <w:r>
        <w:rPr>
          <w:b/>
          <w:color w:val="000000"/>
        </w:rPr>
        <w:t xml:space="preserve">ROZDZIAŁ  VI </w:t>
      </w:r>
    </w:p>
    <w:p w:rsidR="00B1146D" w:rsidRDefault="00717A52">
      <w:pPr>
        <w:spacing w:before="25" w:after="0"/>
        <w:jc w:val="center"/>
      </w:pPr>
      <w:r>
        <w:rPr>
          <w:b/>
          <w:color w:val="000000"/>
        </w:rPr>
        <w:t>INSPEKCJE I DOKUMENTACJA</w:t>
      </w:r>
    </w:p>
    <w:p w:rsidR="00B1146D" w:rsidRDefault="00B1146D">
      <w:pPr>
        <w:spacing w:before="80" w:after="0"/>
      </w:pPr>
    </w:p>
    <w:p w:rsidR="00B1146D" w:rsidRDefault="00717A52">
      <w:pPr>
        <w:spacing w:after="0"/>
      </w:pPr>
      <w:r>
        <w:rPr>
          <w:b/>
          <w:color w:val="000000"/>
        </w:rPr>
        <w:t xml:space="preserve">Artykuł  34 </w:t>
      </w:r>
    </w:p>
    <w:p w:rsidR="00B1146D" w:rsidRDefault="00717A52">
      <w:pPr>
        <w:spacing w:after="0"/>
      </w:pPr>
      <w:r>
        <w:rPr>
          <w:b/>
          <w:color w:val="000000"/>
        </w:rPr>
        <w:t>Inspekcje</w:t>
      </w:r>
    </w:p>
    <w:p w:rsidR="00B1146D" w:rsidRDefault="00717A52">
      <w:pPr>
        <w:spacing w:before="26" w:after="0"/>
      </w:pPr>
      <w:r>
        <w:rPr>
          <w:color w:val="000000"/>
        </w:rPr>
        <w:t>1. Zakłady lub przedsiębiorstwa, które dokonują procesów przetwarzania odpadów, zakłady lub przedsiębiorstwa, które zawodowo zajmują się zbieraniem lub transportem odpadów,</w:t>
      </w:r>
      <w:r>
        <w:rPr>
          <w:color w:val="000000"/>
        </w:rPr>
        <w:t xml:space="preserve"> brokerzy i dealerzy oraz zakłady lub przedsiębiorstwa produkujące odpady niebezpieczne podlegają odpowiednim okresowym kontrolom, przeprowadzanym przez właściwe organy.</w:t>
      </w:r>
    </w:p>
    <w:p w:rsidR="00B1146D" w:rsidRDefault="00717A52">
      <w:pPr>
        <w:spacing w:before="26" w:after="0"/>
      </w:pPr>
      <w:r>
        <w:rPr>
          <w:color w:val="000000"/>
        </w:rPr>
        <w:t>2. Kontrole dotyczące procesów zbierania i transportu obejmują miejsce pochodzenia, ch</w:t>
      </w:r>
      <w:r>
        <w:rPr>
          <w:color w:val="000000"/>
        </w:rPr>
        <w:t>arakter, ilość i miejsce przeznaczenia zbieranych i transportowanych odpadów.</w:t>
      </w:r>
    </w:p>
    <w:p w:rsidR="00B1146D" w:rsidRDefault="00717A52">
      <w:pPr>
        <w:spacing w:before="26" w:after="0"/>
      </w:pPr>
      <w:r>
        <w:rPr>
          <w:color w:val="000000"/>
        </w:rPr>
        <w:t>3. Państwa członkowskie mogą uwzględnić rejestracje uzyskane w ramach wspólnotowego systemu ekozarządania i audytu (EMAS), w szczególności w odniesieniu do częstotliwości i inten</w:t>
      </w:r>
      <w:r>
        <w:rPr>
          <w:color w:val="000000"/>
        </w:rPr>
        <w:t>sywności inspekcji.</w:t>
      </w:r>
    </w:p>
    <w:p w:rsidR="00B1146D" w:rsidRDefault="00B1146D">
      <w:pPr>
        <w:spacing w:before="80" w:after="0"/>
      </w:pPr>
    </w:p>
    <w:p w:rsidR="00B1146D" w:rsidRDefault="00717A52">
      <w:pPr>
        <w:spacing w:after="0"/>
      </w:pPr>
      <w:r>
        <w:rPr>
          <w:b/>
          <w:color w:val="000000"/>
        </w:rPr>
        <w:t xml:space="preserve">Artykuł  35 </w:t>
      </w:r>
    </w:p>
    <w:p w:rsidR="00B1146D" w:rsidRDefault="00717A52">
      <w:pPr>
        <w:spacing w:after="0"/>
      </w:pPr>
      <w:r>
        <w:rPr>
          <w:b/>
          <w:color w:val="000000"/>
        </w:rPr>
        <w:t>Prowadzenie ewidencji</w:t>
      </w:r>
    </w:p>
    <w:p w:rsidR="00B1146D" w:rsidRDefault="00717A52">
      <w:pPr>
        <w:spacing w:before="26" w:after="0"/>
      </w:pPr>
      <w:r>
        <w:rPr>
          <w:color w:val="000000"/>
        </w:rPr>
        <w:t xml:space="preserve">1. Zakłady lub przedsiębiorstwa, o których mowa w art. 23 ust. 1, wytwórcy odpadów niebezpiecznych oraz zakłady i przedsiębiorstwa, które zawodowo zajmują się zbieraniem lub transportem odpadów </w:t>
      </w:r>
      <w:r>
        <w:rPr>
          <w:color w:val="000000"/>
        </w:rPr>
        <w:t>niebezpiecznych lub funkcjonują jako dealerzy i brokerzy odpadów niebezpiecznych, prowadzą w porządku chronologicznym ewidencję ilości, charakteru, miejsca pochodzenia odpadów oraz, w odpowiednich przypadkach, miejsca przeznaczenia, częstotliwości zbierani</w:t>
      </w:r>
      <w:r>
        <w:rPr>
          <w:color w:val="000000"/>
        </w:rPr>
        <w:t>a, sposobu transportu oraz przewidywanej metody przetwarzania odpadów i udostępniają te informacje właściwym organom na ich żądanie.</w:t>
      </w:r>
    </w:p>
    <w:p w:rsidR="00B1146D" w:rsidRDefault="00717A52">
      <w:pPr>
        <w:spacing w:before="26" w:after="0"/>
      </w:pPr>
      <w:r>
        <w:rPr>
          <w:color w:val="000000"/>
        </w:rPr>
        <w:t>2. W przypadku odpadów niebezpiecznych dokumentację należy przechowywać przez co najmniej trzy lata, z wyłączeniem zakładów</w:t>
      </w:r>
      <w:r>
        <w:rPr>
          <w:color w:val="000000"/>
        </w:rPr>
        <w:t xml:space="preserve"> i przedsiębiorstw transportujących odpady niebezpieczne, które muszą przechowywać taką dokumentację przez co najmniej 12 miesięcy.</w:t>
      </w:r>
    </w:p>
    <w:p w:rsidR="00B1146D" w:rsidRDefault="00717A52">
      <w:pPr>
        <w:spacing w:before="25" w:after="0"/>
        <w:jc w:val="both"/>
      </w:pPr>
      <w:r>
        <w:rPr>
          <w:color w:val="000000"/>
        </w:rPr>
        <w:t>Dowody przeprowadzenia czynności gospodarowania odpadami muszą być dostarczone na żądanie właściwych organów lub poprzednieg</w:t>
      </w:r>
      <w:r>
        <w:rPr>
          <w:color w:val="000000"/>
        </w:rPr>
        <w:t>o posiadacza.</w:t>
      </w:r>
    </w:p>
    <w:p w:rsidR="00B1146D" w:rsidRDefault="00717A52">
      <w:pPr>
        <w:spacing w:before="26" w:after="0"/>
      </w:pPr>
      <w:r>
        <w:rPr>
          <w:color w:val="000000"/>
        </w:rPr>
        <w:t>3. Państwa członkowskie mogą również wymagać, aby wytwórcy odpadów innych niż niebezpieczne stosowali się do przepisów zawartych w ust. 1 i 2.</w:t>
      </w:r>
    </w:p>
    <w:p w:rsidR="00B1146D" w:rsidRDefault="00B1146D">
      <w:pPr>
        <w:spacing w:before="80" w:after="0"/>
      </w:pPr>
    </w:p>
    <w:p w:rsidR="00B1146D" w:rsidRDefault="00717A52">
      <w:pPr>
        <w:spacing w:after="0"/>
      </w:pPr>
      <w:r>
        <w:rPr>
          <w:b/>
          <w:color w:val="000000"/>
        </w:rPr>
        <w:t xml:space="preserve">Artykuł  36 </w:t>
      </w:r>
    </w:p>
    <w:p w:rsidR="00B1146D" w:rsidRDefault="00717A52">
      <w:pPr>
        <w:spacing w:after="0"/>
      </w:pPr>
      <w:r>
        <w:rPr>
          <w:b/>
          <w:color w:val="000000"/>
        </w:rPr>
        <w:t>Egzekwowanie i sankcje</w:t>
      </w:r>
    </w:p>
    <w:p w:rsidR="00B1146D" w:rsidRDefault="00717A52">
      <w:pPr>
        <w:spacing w:before="26" w:after="0"/>
      </w:pPr>
      <w:r>
        <w:rPr>
          <w:color w:val="000000"/>
        </w:rPr>
        <w:t>1. Państwa członkowskie stosują niezbędne środki zakazujące po</w:t>
      </w:r>
      <w:r>
        <w:rPr>
          <w:color w:val="000000"/>
        </w:rPr>
        <w:t>rzucania odpadów, składowania ich w miejscach do tego nieprzeznaczonych lub niekontrolowanego gospodarowania nimi.</w:t>
      </w:r>
    </w:p>
    <w:p w:rsidR="00B1146D" w:rsidRDefault="00717A52">
      <w:pPr>
        <w:spacing w:before="26" w:after="0"/>
      </w:pPr>
      <w:r>
        <w:rPr>
          <w:color w:val="000000"/>
        </w:rPr>
        <w:t>2. Państwa członkowskie określają przepisy dotyczące sankcji stosowanych w przypadku naruszeń przepisów niniejszej dyrektywy, a także stosują</w:t>
      </w:r>
      <w:r>
        <w:rPr>
          <w:color w:val="000000"/>
        </w:rPr>
        <w:t xml:space="preserve"> wszelkie niezbędne środki w celu zapewnienia ich wykonania. Sankcje muszą być skuteczne, proporcjonalne i odstraszające.</w:t>
      </w:r>
    </w:p>
    <w:p w:rsidR="00B1146D" w:rsidRDefault="00B1146D">
      <w:pPr>
        <w:spacing w:after="0"/>
      </w:pPr>
    </w:p>
    <w:p w:rsidR="00B1146D" w:rsidRDefault="00717A52">
      <w:pPr>
        <w:spacing w:before="146" w:after="0"/>
        <w:jc w:val="center"/>
      </w:pPr>
      <w:r>
        <w:rPr>
          <w:b/>
          <w:color w:val="000000"/>
        </w:rPr>
        <w:t xml:space="preserve">ROZDZIAŁ  VII </w:t>
      </w:r>
    </w:p>
    <w:p w:rsidR="00B1146D" w:rsidRDefault="00717A52">
      <w:pPr>
        <w:spacing w:before="25" w:after="0"/>
        <w:jc w:val="center"/>
      </w:pPr>
      <w:r>
        <w:rPr>
          <w:b/>
          <w:color w:val="000000"/>
        </w:rPr>
        <w:t>PRZEPISY KOŃCOWE</w:t>
      </w:r>
    </w:p>
    <w:p w:rsidR="00B1146D" w:rsidRDefault="00B1146D">
      <w:pPr>
        <w:spacing w:before="80" w:after="0"/>
      </w:pPr>
    </w:p>
    <w:p w:rsidR="00B1146D" w:rsidRDefault="00717A52">
      <w:pPr>
        <w:spacing w:after="0"/>
      </w:pPr>
      <w:r>
        <w:rPr>
          <w:b/>
          <w:color w:val="000000"/>
        </w:rPr>
        <w:t xml:space="preserve">Artykuł  37 </w:t>
      </w:r>
    </w:p>
    <w:p w:rsidR="00B1146D" w:rsidRDefault="00717A52">
      <w:pPr>
        <w:spacing w:after="0"/>
      </w:pPr>
      <w:r>
        <w:rPr>
          <w:b/>
          <w:color w:val="000000"/>
        </w:rPr>
        <w:t>Sprawozdawczość i przegląd</w:t>
      </w:r>
    </w:p>
    <w:p w:rsidR="00B1146D" w:rsidRDefault="00717A52">
      <w:pPr>
        <w:spacing w:before="26" w:after="0"/>
      </w:pPr>
      <w:r>
        <w:rPr>
          <w:color w:val="000000"/>
        </w:rPr>
        <w:t>1. Co trzy lata państwa członkowskie przekazują Komisji info</w:t>
      </w:r>
      <w:r>
        <w:rPr>
          <w:color w:val="000000"/>
        </w:rPr>
        <w:t>rmacje na temat wdrażania niniejszej dyrektywy, w postaci sprawozdania sektorowego w formie elektronicznej. Sprawozdanie to zawiera również informacje o gospodarowaniu olejami odpadowymi i o osiągniętym postępie w zakresie realizacji programów zapobiegania</w:t>
      </w:r>
      <w:r>
        <w:rPr>
          <w:color w:val="000000"/>
        </w:rPr>
        <w:t xml:space="preserve"> powstawaniu odpadów, a w stosownych przypadkach informacje na temat środków przewidzianych w art. 8 w sprawie rozszerzonej odpowiedzialności producenta.</w:t>
      </w:r>
    </w:p>
    <w:p w:rsidR="00B1146D" w:rsidRDefault="00717A52">
      <w:pPr>
        <w:spacing w:before="25" w:after="0"/>
        <w:jc w:val="both"/>
      </w:pPr>
      <w:r>
        <w:rPr>
          <w:color w:val="000000"/>
        </w:rPr>
        <w:t>Sprawozdanie to jest sporządzane na podstawie kwestionariusza lub wzoru ustalonego przez Komisję zgodn</w:t>
      </w:r>
      <w:r>
        <w:rPr>
          <w:color w:val="000000"/>
        </w:rPr>
        <w:t xml:space="preserve">ie z procedurą określoną w </w:t>
      </w:r>
      <w:r>
        <w:rPr>
          <w:color w:val="1B1B1B"/>
        </w:rPr>
        <w:t>art. 6</w:t>
      </w:r>
      <w:r>
        <w:rPr>
          <w:color w:val="000000"/>
        </w:rPr>
        <w:t xml:space="preserve"> dyrektywy Rady 91/692/EWG z dnia 23 grudnia 1991 r. normalizującej i racjonalizującej sprawozdania w sprawie wykonywania niektórych dyrektyw odnoszących się do środowiska </w:t>
      </w:r>
      <w:r>
        <w:rPr>
          <w:color w:val="000000"/>
          <w:vertAlign w:val="superscript"/>
        </w:rPr>
        <w:t>28</w:t>
      </w:r>
      <w:r>
        <w:rPr>
          <w:color w:val="000000"/>
        </w:rPr>
        <w:t xml:space="preserve"> . Sprawozdanie to jest przedstawiane Komisji w t</w:t>
      </w:r>
      <w:r>
        <w:rPr>
          <w:color w:val="000000"/>
        </w:rPr>
        <w:t>erminie dziewięciu miesięcy od zakończenia trzyletniego okresu, którego dotyczy.</w:t>
      </w:r>
    </w:p>
    <w:p w:rsidR="00B1146D" w:rsidRDefault="00717A52">
      <w:pPr>
        <w:spacing w:before="26" w:after="0"/>
      </w:pPr>
      <w:r>
        <w:rPr>
          <w:color w:val="000000"/>
        </w:rPr>
        <w:t>2. Komisja przesyła kwestionariusz lub wzór do państw członkowskich na sześć miesięcy przed rozpoczęciem okresu, którego dotyczy sprawozdanie sektorowe.</w:t>
      </w:r>
    </w:p>
    <w:p w:rsidR="00B1146D" w:rsidRDefault="00717A52">
      <w:pPr>
        <w:spacing w:before="26" w:after="0"/>
      </w:pPr>
      <w:r>
        <w:rPr>
          <w:color w:val="000000"/>
        </w:rPr>
        <w:t>3. Komisja publikuje s</w:t>
      </w:r>
      <w:r>
        <w:rPr>
          <w:color w:val="000000"/>
        </w:rPr>
        <w:t>prawozdanie dotyczące wdrażania niniejszej dyrektywy w terminie dziewięciu miesięcy od daty otrzymania sprawozdań sektorowych od państw członkowskich zgodnie z ust. 1.</w:t>
      </w:r>
    </w:p>
    <w:p w:rsidR="00B1146D" w:rsidRDefault="00717A52">
      <w:pPr>
        <w:spacing w:before="26" w:after="0"/>
      </w:pPr>
      <w:r>
        <w:rPr>
          <w:color w:val="000000"/>
        </w:rPr>
        <w:t>4. W pierwszym sprawozdaniu sporządzonym do dnia 12 grudnia 2014 r. Komisja dokonuje prz</w:t>
      </w:r>
      <w:r>
        <w:rPr>
          <w:color w:val="000000"/>
        </w:rPr>
        <w:t>eglądu procesu wdrażania niniejszej dyrektywy, w tym przepisów dotyczących wydajności energetycznej, oraz przedstawi wniosek w sprawie jej zmiany, jeżeli jest to stosowne. Sprawozdanie obejmuje także ocenę obowiązujących w państwach członkowskich programów</w:t>
      </w:r>
      <w:r>
        <w:rPr>
          <w:color w:val="000000"/>
        </w:rPr>
        <w:t xml:space="preserve"> zapobiegania powstawaniu odpadów, celów i wskaźników zapobiegania oraz ocenę możliwości wprowadzenia na szczeblu wspólnotowym programów, w tym systemów odpowiedzialności producenta w przypadku konkretnych strumieni odpadów, celów liczbowych, wskaźników or</w:t>
      </w:r>
      <w:r>
        <w:rPr>
          <w:color w:val="000000"/>
        </w:rPr>
        <w:t>az środków związanych z recyklingiem oraz działaniami nakierowanymi na odzysk materiałów i energii, które mogą przyczynić się do skuteczniejszego wypełniania celów określonych w art. 1 i 4.</w:t>
      </w:r>
    </w:p>
    <w:p w:rsidR="00B1146D" w:rsidRDefault="00B1146D">
      <w:pPr>
        <w:spacing w:before="80" w:after="0"/>
      </w:pPr>
    </w:p>
    <w:p w:rsidR="00B1146D" w:rsidRDefault="00717A52">
      <w:pPr>
        <w:spacing w:after="0"/>
      </w:pPr>
      <w:r>
        <w:rPr>
          <w:b/>
          <w:color w:val="000000"/>
        </w:rPr>
        <w:t xml:space="preserve">Artykuł  38 </w:t>
      </w:r>
    </w:p>
    <w:p w:rsidR="00B1146D" w:rsidRDefault="00717A52">
      <w:pPr>
        <w:spacing w:after="0"/>
      </w:pPr>
      <w:r>
        <w:rPr>
          <w:b/>
          <w:color w:val="000000"/>
        </w:rPr>
        <w:t>Interpretacja i dostosowanie do postępu technicznego</w:t>
      </w:r>
    </w:p>
    <w:p w:rsidR="00B1146D" w:rsidRDefault="00717A52">
      <w:pPr>
        <w:spacing w:before="26" w:after="0"/>
      </w:pPr>
      <w:r>
        <w:rPr>
          <w:color w:val="000000"/>
        </w:rPr>
        <w:t>1. Komisja może opracować wytyczne do interpretacji definicji odzysku i unieszkodliwiania.</w:t>
      </w:r>
    </w:p>
    <w:p w:rsidR="00B1146D" w:rsidRDefault="00717A52">
      <w:pPr>
        <w:spacing w:before="25" w:after="0"/>
        <w:jc w:val="both"/>
      </w:pPr>
      <w:r>
        <w:rPr>
          <w:color w:val="000000"/>
        </w:rPr>
        <w:t>W razie konieczności należy szczegółowo określić stosowanie wzoru dla obiektów przekształcania termicznego, o których mowa w załączniku II R1. Można uwzględnić lokalne warunki klimatyczne, jak np. bardzo niskie temperatury i zapotrzebowanie na energię ciep</w:t>
      </w:r>
      <w:r>
        <w:rPr>
          <w:color w:val="000000"/>
        </w:rPr>
        <w:t>lną, o ile mają one wpływ na ilość energii, która może zostać technicznie wykorzystana lub wyprodukowana w postaci energii elektrycznej, cieplnej, chłodniczej lub pary technologicznej. Można również uwzględnić lokalne warunki regionów najbardziej oddalonyc</w:t>
      </w:r>
      <w:r>
        <w:rPr>
          <w:color w:val="000000"/>
        </w:rPr>
        <w:t xml:space="preserve">h, o których mowa w </w:t>
      </w:r>
      <w:r>
        <w:rPr>
          <w:color w:val="1B1B1B"/>
        </w:rPr>
        <w:t>art. 299 ust. 2</w:t>
      </w:r>
      <w:r>
        <w:rPr>
          <w:color w:val="000000"/>
        </w:rPr>
        <w:t xml:space="preserve"> akapit czwarty Traktatu i terytoriów, o których mowa w </w:t>
      </w:r>
      <w:r>
        <w:rPr>
          <w:color w:val="1B1B1B"/>
        </w:rPr>
        <w:t>art. 25</w:t>
      </w:r>
      <w:r>
        <w:rPr>
          <w:color w:val="000000"/>
        </w:rPr>
        <w:t xml:space="preserve"> Aktu o przystąpieniu z 1985 r. Środek ten, mający na celu zmianę innych niż istotne elementów niniejszej dyrektywy poprzez jej uzupełnienie jej, przyjmuje si</w:t>
      </w:r>
      <w:r>
        <w:rPr>
          <w:color w:val="000000"/>
        </w:rPr>
        <w:t>ę zgodnie z procedurą regulacyjną połączoną z kontrolą, o której mowa w art. 39 ust. 2.</w:t>
      </w:r>
    </w:p>
    <w:p w:rsidR="00B1146D" w:rsidRDefault="00717A52">
      <w:pPr>
        <w:spacing w:before="26" w:after="0"/>
      </w:pPr>
      <w:r>
        <w:rPr>
          <w:color w:val="000000"/>
        </w:rPr>
        <w:t>2. Załączniki mogą zostać zmienione w świetle postępu naukowego i technicznego. Środki te, mające na celu zmianę innych niż istotne elementów niniejszej dyrektywy, przy</w:t>
      </w:r>
      <w:r>
        <w:rPr>
          <w:color w:val="000000"/>
        </w:rPr>
        <w:t>jmuje się zgodnie z procedurą regulacyjną połączoną z kontrolą, o której mowa w art. 39 ust. 2.</w:t>
      </w:r>
    </w:p>
    <w:p w:rsidR="00B1146D" w:rsidRDefault="00B1146D">
      <w:pPr>
        <w:spacing w:before="80" w:after="0"/>
      </w:pPr>
    </w:p>
    <w:p w:rsidR="00B1146D" w:rsidRDefault="00717A52">
      <w:pPr>
        <w:spacing w:after="0"/>
      </w:pPr>
      <w:r>
        <w:rPr>
          <w:b/>
          <w:color w:val="000000"/>
        </w:rPr>
        <w:t xml:space="preserve">Artykuł  39 </w:t>
      </w:r>
    </w:p>
    <w:p w:rsidR="00B1146D" w:rsidRDefault="00717A52">
      <w:pPr>
        <w:spacing w:after="0"/>
      </w:pPr>
      <w:r>
        <w:rPr>
          <w:b/>
          <w:color w:val="000000"/>
        </w:rPr>
        <w:t>Procedura komitetu</w:t>
      </w:r>
    </w:p>
    <w:p w:rsidR="00B1146D" w:rsidRDefault="00717A52">
      <w:pPr>
        <w:spacing w:before="26" w:after="0"/>
      </w:pPr>
      <w:r>
        <w:rPr>
          <w:color w:val="000000"/>
        </w:rPr>
        <w:t>1. Komisja jest wspierana przez komitet.</w:t>
      </w:r>
    </w:p>
    <w:p w:rsidR="00B1146D" w:rsidRDefault="00717A52">
      <w:pPr>
        <w:spacing w:before="26" w:after="0"/>
      </w:pPr>
      <w:r>
        <w:rPr>
          <w:color w:val="000000"/>
        </w:rPr>
        <w:t xml:space="preserve">2. W przypadku odesłania do niniejszego ustępu, stosuje się </w:t>
      </w:r>
      <w:r>
        <w:rPr>
          <w:color w:val="1B1B1B"/>
        </w:rPr>
        <w:t>art. 5a ust. 1-4</w:t>
      </w:r>
      <w:r>
        <w:rPr>
          <w:color w:val="000000"/>
        </w:rPr>
        <w:t xml:space="preserve"> oraz </w:t>
      </w:r>
      <w:r>
        <w:rPr>
          <w:color w:val="1B1B1B"/>
        </w:rPr>
        <w:t>art.</w:t>
      </w:r>
      <w:r>
        <w:rPr>
          <w:color w:val="1B1B1B"/>
        </w:rPr>
        <w:t xml:space="preserve"> 7</w:t>
      </w:r>
      <w:r>
        <w:rPr>
          <w:color w:val="000000"/>
        </w:rPr>
        <w:t xml:space="preserve"> decyzji 1999/468/WE, z uwzględnieniem jej </w:t>
      </w:r>
      <w:r>
        <w:rPr>
          <w:color w:val="1B1B1B"/>
        </w:rPr>
        <w:t>art. 8</w:t>
      </w:r>
      <w:r>
        <w:rPr>
          <w:color w:val="000000"/>
        </w:rPr>
        <w:t>.</w:t>
      </w:r>
    </w:p>
    <w:p w:rsidR="00B1146D" w:rsidRDefault="00717A52">
      <w:pPr>
        <w:spacing w:before="26" w:after="0"/>
      </w:pPr>
      <w:r>
        <w:rPr>
          <w:color w:val="000000"/>
        </w:rPr>
        <w:t xml:space="preserve">3. W przypadku odesłania do niniejszego ustępu, stosuje się </w:t>
      </w:r>
      <w:r>
        <w:rPr>
          <w:color w:val="1B1B1B"/>
        </w:rPr>
        <w:t>art. 5</w:t>
      </w:r>
      <w:r>
        <w:rPr>
          <w:color w:val="000000"/>
        </w:rPr>
        <w:t xml:space="preserve"> i </w:t>
      </w:r>
      <w:r>
        <w:rPr>
          <w:color w:val="1B1B1B"/>
        </w:rPr>
        <w:t>7</w:t>
      </w:r>
      <w:r>
        <w:rPr>
          <w:color w:val="000000"/>
        </w:rPr>
        <w:t xml:space="preserve"> decyzji 1999/468/WE, z uwzględnieniem jej </w:t>
      </w:r>
      <w:r>
        <w:rPr>
          <w:color w:val="1B1B1B"/>
        </w:rPr>
        <w:t>art. 8</w:t>
      </w:r>
      <w:r>
        <w:rPr>
          <w:color w:val="000000"/>
        </w:rPr>
        <w:t>.</w:t>
      </w:r>
    </w:p>
    <w:p w:rsidR="00B1146D" w:rsidRDefault="00717A52">
      <w:pPr>
        <w:spacing w:before="25" w:after="0"/>
        <w:jc w:val="both"/>
      </w:pPr>
      <w:r>
        <w:rPr>
          <w:color w:val="000000"/>
        </w:rPr>
        <w:t xml:space="preserve">Okres, o którym mowa w </w:t>
      </w:r>
      <w:r>
        <w:rPr>
          <w:color w:val="1B1B1B"/>
        </w:rPr>
        <w:t>art. 5 ust. 6</w:t>
      </w:r>
      <w:r>
        <w:rPr>
          <w:color w:val="000000"/>
        </w:rPr>
        <w:t xml:space="preserve"> decyzji 1999/468/WE, ustala się na trzy miesi</w:t>
      </w:r>
      <w:r>
        <w:rPr>
          <w:color w:val="000000"/>
        </w:rPr>
        <w:t>ące.</w:t>
      </w:r>
    </w:p>
    <w:p w:rsidR="00B1146D" w:rsidRDefault="00B1146D">
      <w:pPr>
        <w:spacing w:before="80" w:after="0"/>
      </w:pPr>
    </w:p>
    <w:p w:rsidR="00B1146D" w:rsidRDefault="00717A52">
      <w:pPr>
        <w:spacing w:after="0"/>
      </w:pPr>
      <w:r>
        <w:rPr>
          <w:b/>
          <w:color w:val="000000"/>
        </w:rPr>
        <w:t xml:space="preserve">Artykuł  40 </w:t>
      </w:r>
    </w:p>
    <w:p w:rsidR="00B1146D" w:rsidRDefault="00717A52">
      <w:pPr>
        <w:spacing w:after="0"/>
      </w:pPr>
      <w:r>
        <w:rPr>
          <w:b/>
          <w:color w:val="000000"/>
        </w:rPr>
        <w:t>Transpozycja</w:t>
      </w:r>
    </w:p>
    <w:p w:rsidR="00B1146D" w:rsidRDefault="00717A52">
      <w:pPr>
        <w:spacing w:before="26" w:after="0"/>
      </w:pPr>
      <w:r>
        <w:rPr>
          <w:color w:val="000000"/>
        </w:rPr>
        <w:t>1. Państwa członkowskie wprowadzają w życie przepisy ustawowe, wykonawcze i administracyjne niezbędne do wykonania niniejszej dyrektywy nie później niż do dnia 12 grudnia 2010 r.</w:t>
      </w:r>
    </w:p>
    <w:p w:rsidR="00B1146D" w:rsidRDefault="00717A52">
      <w:pPr>
        <w:spacing w:before="25" w:after="0"/>
        <w:jc w:val="both"/>
      </w:pPr>
      <w:r>
        <w:rPr>
          <w:color w:val="000000"/>
        </w:rPr>
        <w:t xml:space="preserve">Przepisy przyjęte przez państwa członkowskie </w:t>
      </w:r>
      <w:r>
        <w:rPr>
          <w:color w:val="000000"/>
        </w:rPr>
        <w:t>zawierają odniesienie do niniejszej dyrektywy lub odniesienie takie towarzyszy ich urzędowej publikacji. Metody dokonywania takiego odniesienia określane są przez państwa członkowskie.</w:t>
      </w:r>
    </w:p>
    <w:p w:rsidR="00B1146D" w:rsidRDefault="00717A52">
      <w:pPr>
        <w:spacing w:before="26" w:after="0"/>
      </w:pPr>
      <w:r>
        <w:rPr>
          <w:color w:val="000000"/>
        </w:rPr>
        <w:t>2. Państwa członkowskie przekazują Komisji teksty podstawowych przepisó</w:t>
      </w:r>
      <w:r>
        <w:rPr>
          <w:color w:val="000000"/>
        </w:rPr>
        <w:t>w prawa krajowego przyjętych przez nie w dziedzinie objętej niniejszą dyrektywą.</w:t>
      </w:r>
    </w:p>
    <w:p w:rsidR="00B1146D" w:rsidRDefault="00B1146D">
      <w:pPr>
        <w:spacing w:before="80" w:after="0"/>
      </w:pPr>
    </w:p>
    <w:p w:rsidR="00B1146D" w:rsidRDefault="00717A52">
      <w:pPr>
        <w:spacing w:after="0"/>
      </w:pPr>
      <w:r>
        <w:rPr>
          <w:b/>
          <w:color w:val="000000"/>
        </w:rPr>
        <w:t xml:space="preserve">Artykuł  41 </w:t>
      </w:r>
    </w:p>
    <w:p w:rsidR="00B1146D" w:rsidRDefault="00717A52">
      <w:pPr>
        <w:spacing w:after="0"/>
      </w:pPr>
      <w:r>
        <w:rPr>
          <w:b/>
          <w:color w:val="000000"/>
        </w:rPr>
        <w:t>Uchylenie i przepisy przejściowe</w:t>
      </w:r>
    </w:p>
    <w:p w:rsidR="00B1146D" w:rsidRDefault="00717A52">
      <w:pPr>
        <w:spacing w:before="25" w:after="0"/>
        <w:jc w:val="both"/>
      </w:pPr>
      <w:r>
        <w:rPr>
          <w:color w:val="000000"/>
        </w:rPr>
        <w:t xml:space="preserve">Niniejszym uchyla się dyrektywy </w:t>
      </w:r>
      <w:r>
        <w:rPr>
          <w:color w:val="1B1B1B"/>
        </w:rPr>
        <w:t>75/439/EWG</w:t>
      </w:r>
      <w:r>
        <w:rPr>
          <w:color w:val="000000"/>
        </w:rPr>
        <w:t xml:space="preserve">, </w:t>
      </w:r>
      <w:r>
        <w:rPr>
          <w:color w:val="1B1B1B"/>
        </w:rPr>
        <w:t>91/689/EWG</w:t>
      </w:r>
      <w:r>
        <w:rPr>
          <w:color w:val="000000"/>
        </w:rPr>
        <w:t xml:space="preserve"> i </w:t>
      </w:r>
      <w:r>
        <w:rPr>
          <w:color w:val="1B1B1B"/>
        </w:rPr>
        <w:t>2006/12/WE</w:t>
      </w:r>
      <w:r>
        <w:rPr>
          <w:color w:val="000000"/>
        </w:rPr>
        <w:t xml:space="preserve"> ze skutkiem od 12 grudnia 2010 r.</w:t>
      </w:r>
    </w:p>
    <w:p w:rsidR="00B1146D" w:rsidRDefault="00717A52">
      <w:pPr>
        <w:spacing w:before="25" w:after="0"/>
        <w:jc w:val="both"/>
      </w:pPr>
      <w:r>
        <w:rPr>
          <w:color w:val="000000"/>
        </w:rPr>
        <w:t>Od 12 grudnia 2008 r. obow</w:t>
      </w:r>
      <w:r>
        <w:rPr>
          <w:color w:val="000000"/>
        </w:rPr>
        <w:t>iązują jednak następujące zmiany:</w:t>
      </w:r>
    </w:p>
    <w:p w:rsidR="00B1146D" w:rsidRDefault="00717A52">
      <w:pPr>
        <w:spacing w:after="0"/>
        <w:ind w:left="373"/>
      </w:pPr>
      <w:r>
        <w:rPr>
          <w:color w:val="000000"/>
        </w:rPr>
        <w:t xml:space="preserve">a) </w:t>
      </w:r>
      <w:r>
        <w:rPr>
          <w:color w:val="1B1B1B"/>
        </w:rPr>
        <w:t>art. 10 ust. 4</w:t>
      </w:r>
      <w:r>
        <w:rPr>
          <w:color w:val="000000"/>
        </w:rPr>
        <w:t xml:space="preserve"> dyrektywy 75/439/WE otrzymuje brzmienie:</w:t>
      </w:r>
    </w:p>
    <w:p w:rsidR="00B1146D" w:rsidRDefault="00717A52">
      <w:pPr>
        <w:spacing w:before="25" w:after="0"/>
        <w:ind w:left="373"/>
        <w:jc w:val="both"/>
      </w:pPr>
      <w:r>
        <w:rPr>
          <w:color w:val="000000"/>
        </w:rPr>
        <w:t>"4. Metoda referencyjna pomiaru zawartości PCB/PCT w olejach odpadowych ustalana jest przez Komisję. Środek ten, mający na celu zmianę elementów innych niż istotne</w:t>
      </w:r>
      <w:r>
        <w:rPr>
          <w:color w:val="000000"/>
        </w:rPr>
        <w:t xml:space="preserve"> niniejszej dyrektywy poprzez jej uzupełnienie, przyjmuje się zgodnie z procedurą regulacyjną połączoną z kontrolą, o której mowa w art. 18 ust. 4 dyrektywy 2006/12/WE Parlamentu Europejskiego i Rady z dnia 5 kwietnia 2006 w sprawie odpadów </w:t>
      </w:r>
      <w:r>
        <w:rPr>
          <w:color w:val="000000"/>
          <w:vertAlign w:val="superscript"/>
        </w:rPr>
        <w:t>*</w:t>
      </w:r>
      <w:r>
        <w:rPr>
          <w:color w:val="000000"/>
        </w:rPr>
        <w:t xml:space="preserve"> .</w:t>
      </w:r>
    </w:p>
    <w:p w:rsidR="00B1146D" w:rsidRDefault="00717A52">
      <w:pPr>
        <w:spacing w:after="0"/>
        <w:ind w:left="373"/>
      </w:pPr>
      <w:r>
        <w:rPr>
          <w:color w:val="000000"/>
        </w:rPr>
        <w:t>b) w dyrekt</w:t>
      </w:r>
      <w:r>
        <w:rPr>
          <w:color w:val="000000"/>
        </w:rPr>
        <w:t>ywie 91/689/EWG wprowadza się następujące zmiany:</w:t>
      </w:r>
    </w:p>
    <w:p w:rsidR="00B1146D" w:rsidRDefault="00717A52">
      <w:pPr>
        <w:spacing w:after="0"/>
        <w:ind w:left="373"/>
      </w:pPr>
      <w:r>
        <w:rPr>
          <w:color w:val="000000"/>
        </w:rPr>
        <w:t xml:space="preserve">(i) </w:t>
      </w:r>
      <w:r>
        <w:rPr>
          <w:color w:val="1B1B1B"/>
        </w:rPr>
        <w:t>art. 1 ust. 4</w:t>
      </w:r>
      <w:r>
        <w:rPr>
          <w:color w:val="000000"/>
        </w:rPr>
        <w:t xml:space="preserve"> otrzymuje brzmienie:</w:t>
      </w:r>
    </w:p>
    <w:p w:rsidR="00B1146D" w:rsidRDefault="00717A52">
      <w:pPr>
        <w:spacing w:before="25" w:after="0"/>
        <w:ind w:left="373"/>
        <w:jc w:val="both"/>
      </w:pPr>
      <w:r>
        <w:rPr>
          <w:color w:val="000000"/>
        </w:rPr>
        <w:t>"4. Do celów niniejszej dyrektywy »odpady niebezpieczne « oznaczają:</w:t>
      </w:r>
    </w:p>
    <w:p w:rsidR="00B1146D" w:rsidRDefault="00717A52">
      <w:pPr>
        <w:spacing w:before="25" w:after="0"/>
        <w:ind w:left="373"/>
        <w:jc w:val="both"/>
      </w:pPr>
      <w:r>
        <w:rPr>
          <w:color w:val="000000"/>
        </w:rPr>
        <w:t xml:space="preserve">- odpady zaklasyfikowane jako odpady niebezpieczne zawarte w wykazie ustanowionym decyzją Komisji 2000/532/WE </w:t>
      </w:r>
      <w:r>
        <w:rPr>
          <w:color w:val="000000"/>
          <w:vertAlign w:val="superscript"/>
        </w:rPr>
        <w:t>*</w:t>
      </w:r>
      <w:r>
        <w:rPr>
          <w:color w:val="000000"/>
        </w:rPr>
        <w:t xml:space="preserve">  na podstawie załącznika I i II do niniejszej dyrektywy. Odpady te muszą mieć co najmniej jedną z właściwości wymienionych w załączniku III. W wykazie tym uwzględnia się pochodzenie i skład odpadów oraz, w razie potrzeby, dopuszczalne wartości stężenia. W</w:t>
      </w:r>
      <w:r>
        <w:rPr>
          <w:color w:val="000000"/>
        </w:rPr>
        <w:t>ykaz ten jest poddawany okresowemu przeglądowi i, w razie konieczności, zmieniany. Środki te mające na celu zmianę elementów innych niż istotne niniejszej dyrektywy, poprzez jej uzupełnienie, przyjmuje się zgodnie z procedurą regulacyjną połączoną z kontro</w:t>
      </w:r>
      <w:r>
        <w:rPr>
          <w:color w:val="000000"/>
        </w:rPr>
        <w:t xml:space="preserve">lą, o której mowa w art. 18 ust. 4 dyrektywy 2006/12/WE Parlamentu Europejskiego i Rady z dnia 5 kwietnia 2006 r. w sprawie odpadów </w:t>
      </w:r>
      <w:r>
        <w:rPr>
          <w:color w:val="000000"/>
          <w:vertAlign w:val="superscript"/>
        </w:rPr>
        <w:t>**</w:t>
      </w:r>
      <w:r>
        <w:rPr>
          <w:color w:val="000000"/>
        </w:rPr>
        <w:t xml:space="preserve"> </w:t>
      </w:r>
      <w:r>
        <w:rPr>
          <w:color w:val="000000"/>
          <w:vertAlign w:val="superscript"/>
        </w:rPr>
        <w:t>*</w:t>
      </w:r>
      <w:r>
        <w:rPr>
          <w:color w:val="000000"/>
        </w:rPr>
        <w:t>.</w:t>
      </w:r>
    </w:p>
    <w:p w:rsidR="00B1146D" w:rsidRDefault="00717A52">
      <w:pPr>
        <w:spacing w:before="25" w:after="0"/>
        <w:ind w:left="373"/>
        <w:jc w:val="both"/>
      </w:pPr>
      <w:r>
        <w:rPr>
          <w:color w:val="000000"/>
        </w:rPr>
        <w:t>- wszelkie inne odpady, uznawane przez państwo członkowskie za wykazujące którąkolwiek z właściwości wymienionych w za</w:t>
      </w:r>
      <w:r>
        <w:rPr>
          <w:color w:val="000000"/>
        </w:rPr>
        <w:t>łączniku III. Takie przypadki należy zgłaszać Komisji i wprowadzać zmiany w celu dostosowania wykazu. Środki te mające na celu zmianę elementów innych niż istotne niniejszej dyrektywy, poprzez jej uzupełnienie, przyjmuje się zgodnie z procedurą regulacyjną</w:t>
      </w:r>
      <w:r>
        <w:rPr>
          <w:color w:val="000000"/>
        </w:rPr>
        <w:t xml:space="preserve"> połączoną z kontrolą, o której mowa w art. 18 ust. 4 dyrektywy 2006/12/WE.</w:t>
      </w:r>
    </w:p>
    <w:p w:rsidR="00B1146D" w:rsidRDefault="00717A52">
      <w:pPr>
        <w:spacing w:before="26" w:after="0"/>
        <w:ind w:left="373"/>
      </w:pPr>
      <w:r>
        <w:rPr>
          <w:color w:val="000000"/>
        </w:rPr>
        <w:t xml:space="preserve">(ii) </w:t>
      </w:r>
      <w:r>
        <w:rPr>
          <w:color w:val="1B1B1B"/>
        </w:rPr>
        <w:t>art. 9</w:t>
      </w:r>
      <w:r>
        <w:rPr>
          <w:color w:val="000000"/>
        </w:rPr>
        <w:t xml:space="preserve"> otrzymuje brzmienie:</w:t>
      </w:r>
    </w:p>
    <w:p w:rsidR="00B1146D" w:rsidRDefault="00717A52">
      <w:pPr>
        <w:spacing w:before="25" w:after="0"/>
        <w:ind w:left="373"/>
        <w:jc w:val="both"/>
      </w:pPr>
      <w:r>
        <w:rPr>
          <w:color w:val="000000"/>
        </w:rPr>
        <w:t>"</w:t>
      </w:r>
      <w:r>
        <w:rPr>
          <w:i/>
          <w:color w:val="000000"/>
        </w:rPr>
        <w:t>Artykuł 9</w:t>
      </w:r>
    </w:p>
    <w:p w:rsidR="00B1146D" w:rsidRDefault="00717A52">
      <w:pPr>
        <w:spacing w:before="25" w:after="0"/>
        <w:ind w:left="373"/>
        <w:jc w:val="both"/>
      </w:pPr>
      <w:r>
        <w:rPr>
          <w:color w:val="000000"/>
        </w:rPr>
        <w:t>Środki konieczne do dostosowania załączników do niniejszej dyrektywy do postępu naukowo-technicznego oraz do wprowadzenia zmian w wykazi</w:t>
      </w:r>
      <w:r>
        <w:rPr>
          <w:color w:val="000000"/>
        </w:rPr>
        <w:t>e odpadów, o którym mowa w art. 1 ust. 4, mające na celu zmianę innych niż istotne elementów niniejszej dyrektywy, m.in. poprzez jej uzupełnienie, są przyjmowane zgodnie z procedurą regulacyjną połączoną z kontrolą, o której mowa w art. 18 ust. 4 dyrektywy</w:t>
      </w:r>
      <w:r>
        <w:rPr>
          <w:color w:val="000000"/>
        </w:rPr>
        <w:t xml:space="preserve"> 2006/12/WE.";</w:t>
      </w:r>
    </w:p>
    <w:p w:rsidR="00B1146D" w:rsidRDefault="00717A52">
      <w:pPr>
        <w:spacing w:after="0"/>
        <w:ind w:left="746"/>
      </w:pPr>
      <w:r>
        <w:rPr>
          <w:color w:val="000000"/>
        </w:rPr>
        <w:t>c) w dyrektywie 2006/12/WE wprowadza się następujące zmiany:</w:t>
      </w:r>
    </w:p>
    <w:p w:rsidR="00B1146D" w:rsidRDefault="00717A52">
      <w:pPr>
        <w:spacing w:after="0"/>
        <w:ind w:left="746"/>
      </w:pPr>
      <w:r>
        <w:rPr>
          <w:color w:val="000000"/>
        </w:rPr>
        <w:t xml:space="preserve">(i) </w:t>
      </w:r>
      <w:r>
        <w:rPr>
          <w:color w:val="1B1B1B"/>
        </w:rPr>
        <w:t>art. 1 ust. 2</w:t>
      </w:r>
      <w:r>
        <w:rPr>
          <w:color w:val="000000"/>
        </w:rPr>
        <w:t xml:space="preserve"> otrzymuje brzmienie:</w:t>
      </w:r>
    </w:p>
    <w:p w:rsidR="00B1146D" w:rsidRDefault="00717A52">
      <w:pPr>
        <w:spacing w:before="25" w:after="0"/>
        <w:ind w:left="746"/>
        <w:jc w:val="both"/>
      </w:pPr>
      <w:r>
        <w:rPr>
          <w:color w:val="000000"/>
        </w:rPr>
        <w:t xml:space="preserve">"2. Do celów ust. 1 lit. a) zastosowanie ma decyzja Komisji 2000/532/WE </w:t>
      </w:r>
      <w:r>
        <w:rPr>
          <w:color w:val="000000"/>
          <w:vertAlign w:val="superscript"/>
        </w:rPr>
        <w:t>*</w:t>
      </w:r>
      <w:r>
        <w:rPr>
          <w:color w:val="000000"/>
        </w:rPr>
        <w:t xml:space="preserve">  zawierająca wykaz odpadów należących do kategorii wymienionych w z</w:t>
      </w:r>
      <w:r>
        <w:rPr>
          <w:color w:val="000000"/>
        </w:rPr>
        <w:t>ałączniku I do niniejszej dyrektywy. Wykaz ten jest poddawany okresowemu przeglądowi i, w razie konieczności, zmieniany. Środki mające na celu zmianę elementów innych niż istotne niniejszej dyrektywy, poprzez jej uzupełnienie, przyjmuje się zgodnie z proce</w:t>
      </w:r>
      <w:r>
        <w:rPr>
          <w:color w:val="000000"/>
        </w:rPr>
        <w:t>durą regulacyjną połączoną z kontrolą, o której mowa w art. 18 ust. 4.</w:t>
      </w:r>
    </w:p>
    <w:p w:rsidR="00B1146D" w:rsidRDefault="00717A52">
      <w:pPr>
        <w:spacing w:before="26" w:after="0"/>
        <w:ind w:left="373"/>
      </w:pPr>
      <w:r>
        <w:rPr>
          <w:color w:val="000000"/>
        </w:rPr>
        <w:t xml:space="preserve">(ii) </w:t>
      </w:r>
      <w:r>
        <w:rPr>
          <w:color w:val="1B1B1B"/>
        </w:rPr>
        <w:t>art. 17</w:t>
      </w:r>
      <w:r>
        <w:rPr>
          <w:color w:val="000000"/>
        </w:rPr>
        <w:t xml:space="preserve"> otrzymuje brzmienie:</w:t>
      </w:r>
    </w:p>
    <w:p w:rsidR="00B1146D" w:rsidRDefault="00717A52">
      <w:pPr>
        <w:spacing w:before="25" w:after="0"/>
        <w:ind w:left="373"/>
        <w:jc w:val="both"/>
      </w:pPr>
      <w:r>
        <w:rPr>
          <w:color w:val="000000"/>
        </w:rPr>
        <w:t>"</w:t>
      </w:r>
      <w:r>
        <w:rPr>
          <w:i/>
          <w:color w:val="000000"/>
        </w:rPr>
        <w:t>Artykuł 17</w:t>
      </w:r>
    </w:p>
    <w:p w:rsidR="00B1146D" w:rsidRDefault="00717A52">
      <w:pPr>
        <w:spacing w:before="25" w:after="0"/>
        <w:ind w:left="373"/>
        <w:jc w:val="both"/>
      </w:pPr>
      <w:r>
        <w:rPr>
          <w:color w:val="000000"/>
        </w:rPr>
        <w:t>Środki niezbędne do dostosowania niniejszych załączników do postępu naukowo-technicznego, mające na celu zmianę elementów innych niż istotn</w:t>
      </w:r>
      <w:r>
        <w:rPr>
          <w:color w:val="000000"/>
        </w:rPr>
        <w:t>e niniejszej dyrektywy, przyjmuje się zgodnie z procedurą regulacyjną połączoną z kontrolą, o której mowa w art. 18 ust. 4.";</w:t>
      </w:r>
    </w:p>
    <w:p w:rsidR="00B1146D" w:rsidRDefault="00717A52">
      <w:pPr>
        <w:spacing w:before="26" w:after="0"/>
        <w:ind w:left="373"/>
      </w:pPr>
      <w:r>
        <w:rPr>
          <w:color w:val="000000"/>
        </w:rPr>
        <w:t xml:space="preserve">(iii) </w:t>
      </w:r>
      <w:r>
        <w:rPr>
          <w:color w:val="1B1B1B"/>
        </w:rPr>
        <w:t>art. 18 ust. 4</w:t>
      </w:r>
      <w:r>
        <w:rPr>
          <w:color w:val="000000"/>
        </w:rPr>
        <w:t xml:space="preserve"> otrzymuje brzmienie:</w:t>
      </w:r>
    </w:p>
    <w:p w:rsidR="00B1146D" w:rsidRDefault="00717A52">
      <w:pPr>
        <w:spacing w:before="25" w:after="0"/>
        <w:ind w:left="373"/>
        <w:jc w:val="both"/>
      </w:pPr>
      <w:r>
        <w:rPr>
          <w:color w:val="000000"/>
        </w:rPr>
        <w:t xml:space="preserve">"4. W przypadku odesłania do niniejszego ustępu, stosuje się art. 5a ust. 1-4 oraz art. </w:t>
      </w:r>
      <w:r>
        <w:rPr>
          <w:color w:val="000000"/>
        </w:rPr>
        <w:t>7 decyzji 1999/468/WE, z uwzględnieniem jej art. 8.".</w:t>
      </w:r>
    </w:p>
    <w:p w:rsidR="00B1146D" w:rsidRDefault="00717A52">
      <w:pPr>
        <w:spacing w:before="25" w:after="0"/>
        <w:ind w:left="373"/>
        <w:jc w:val="both"/>
      </w:pPr>
      <w:r>
        <w:rPr>
          <w:color w:val="000000"/>
        </w:rPr>
        <w:t>Odesłania do uchylonych dyrektyw uznaje się za odesłania do niniejszej dyrektywy i odczytuje się je zgodnie z tabelą korelacji przedstawioną w załączniku V.</w:t>
      </w:r>
    </w:p>
    <w:p w:rsidR="00B1146D" w:rsidRDefault="00B1146D">
      <w:pPr>
        <w:spacing w:before="80" w:after="0"/>
      </w:pPr>
    </w:p>
    <w:p w:rsidR="00B1146D" w:rsidRDefault="00717A52">
      <w:pPr>
        <w:spacing w:after="0"/>
      </w:pPr>
      <w:r>
        <w:rPr>
          <w:b/>
          <w:color w:val="000000"/>
        </w:rPr>
        <w:t xml:space="preserve">Artykuł  42 </w:t>
      </w:r>
    </w:p>
    <w:p w:rsidR="00B1146D" w:rsidRDefault="00717A52">
      <w:pPr>
        <w:spacing w:after="0"/>
      </w:pPr>
      <w:r>
        <w:rPr>
          <w:b/>
          <w:color w:val="000000"/>
        </w:rPr>
        <w:t>Wejście w życie</w:t>
      </w:r>
    </w:p>
    <w:p w:rsidR="00B1146D" w:rsidRDefault="00717A52">
      <w:pPr>
        <w:spacing w:before="25" w:after="0"/>
        <w:jc w:val="both"/>
      </w:pPr>
      <w:r>
        <w:rPr>
          <w:color w:val="000000"/>
        </w:rPr>
        <w:t>Niniejsza dyrek</w:t>
      </w:r>
      <w:r>
        <w:rPr>
          <w:color w:val="000000"/>
        </w:rPr>
        <w:t xml:space="preserve">tywa wchodzi w życie dwudziestego dnia po jej opublikowaniu w </w:t>
      </w:r>
      <w:r>
        <w:rPr>
          <w:i/>
          <w:color w:val="000000"/>
        </w:rPr>
        <w:t>Dzienniku Urzędowym Unii Europejskiej</w:t>
      </w:r>
      <w:r>
        <w:rPr>
          <w:color w:val="000000"/>
        </w:rPr>
        <w:t>.</w:t>
      </w:r>
    </w:p>
    <w:p w:rsidR="00B1146D" w:rsidRDefault="00B1146D">
      <w:pPr>
        <w:spacing w:before="80" w:after="0"/>
      </w:pPr>
    </w:p>
    <w:p w:rsidR="00B1146D" w:rsidRDefault="00717A52">
      <w:pPr>
        <w:spacing w:after="0"/>
      </w:pPr>
      <w:r>
        <w:rPr>
          <w:b/>
          <w:color w:val="000000"/>
        </w:rPr>
        <w:t xml:space="preserve">Artykuł  43 </w:t>
      </w:r>
    </w:p>
    <w:p w:rsidR="00B1146D" w:rsidRDefault="00717A52">
      <w:pPr>
        <w:spacing w:after="0"/>
      </w:pPr>
      <w:r>
        <w:rPr>
          <w:b/>
          <w:color w:val="000000"/>
        </w:rPr>
        <w:t>Adresaci</w:t>
      </w:r>
    </w:p>
    <w:p w:rsidR="00B1146D" w:rsidRDefault="00717A52">
      <w:pPr>
        <w:spacing w:before="25" w:after="0"/>
        <w:jc w:val="both"/>
      </w:pPr>
      <w:r>
        <w:rPr>
          <w:color w:val="000000"/>
        </w:rPr>
        <w:t>Niniejsza dyrektywa skierowana jest do państw członkowskich.</w:t>
      </w:r>
    </w:p>
    <w:p w:rsidR="00B1146D" w:rsidRDefault="00717A52">
      <w:pPr>
        <w:spacing w:before="25" w:after="0"/>
        <w:jc w:val="both"/>
      </w:pPr>
      <w:r>
        <w:rPr>
          <w:color w:val="000000"/>
        </w:rPr>
        <w:t>Sporządzono w Strasburgu, dnia 19 listopada 2008 r.</w:t>
      </w:r>
    </w:p>
    <w:tbl>
      <w:tblPr>
        <w:tblW w:w="0" w:type="auto"/>
        <w:tblCellSpacing w:w="0" w:type="auto"/>
        <w:tblLook w:val="04A0" w:firstRow="1" w:lastRow="0" w:firstColumn="1" w:lastColumn="0" w:noHBand="0" w:noVBand="1"/>
      </w:tblPr>
      <w:tblGrid>
        <w:gridCol w:w="6142"/>
        <w:gridCol w:w="6141"/>
      </w:tblGrid>
      <w:tr w:rsidR="00B1146D">
        <w:trPr>
          <w:trHeight w:val="30"/>
          <w:tblCellSpacing w:w="0" w:type="auto"/>
        </w:trPr>
        <w:tc>
          <w:tcPr>
            <w:tcW w:w="6142" w:type="dxa"/>
            <w:tcMar>
              <w:top w:w="15" w:type="dxa"/>
              <w:left w:w="15" w:type="dxa"/>
              <w:bottom w:w="15" w:type="dxa"/>
              <w:right w:w="15" w:type="dxa"/>
            </w:tcMar>
            <w:vAlign w:val="center"/>
          </w:tcPr>
          <w:p w:rsidR="00B1146D" w:rsidRDefault="00717A52">
            <w:pPr>
              <w:spacing w:before="25" w:after="0"/>
              <w:jc w:val="center"/>
            </w:pPr>
            <w:r>
              <w:rPr>
                <w:i/>
                <w:color w:val="000000"/>
              </w:rPr>
              <w:t xml:space="preserve">W imieniu </w:t>
            </w:r>
            <w:r>
              <w:rPr>
                <w:i/>
                <w:color w:val="000000"/>
              </w:rPr>
              <w:t>Parlamentu Europejskiego</w:t>
            </w:r>
          </w:p>
        </w:tc>
        <w:tc>
          <w:tcPr>
            <w:tcW w:w="6141" w:type="dxa"/>
            <w:tcMar>
              <w:top w:w="15" w:type="dxa"/>
              <w:left w:w="15" w:type="dxa"/>
              <w:bottom w:w="15" w:type="dxa"/>
              <w:right w:w="15" w:type="dxa"/>
            </w:tcMar>
            <w:vAlign w:val="center"/>
          </w:tcPr>
          <w:p w:rsidR="00B1146D" w:rsidRDefault="00717A52">
            <w:pPr>
              <w:spacing w:before="25" w:after="0"/>
              <w:jc w:val="center"/>
            </w:pPr>
            <w:r>
              <w:rPr>
                <w:color w:val="000000"/>
              </w:rPr>
              <w:t>W imieniu Rady</w:t>
            </w:r>
          </w:p>
        </w:tc>
      </w:tr>
      <w:tr w:rsidR="00B1146D">
        <w:trPr>
          <w:trHeight w:val="30"/>
          <w:tblCellSpacing w:w="0" w:type="auto"/>
        </w:trPr>
        <w:tc>
          <w:tcPr>
            <w:tcW w:w="6142" w:type="dxa"/>
            <w:tcMar>
              <w:top w:w="15" w:type="dxa"/>
              <w:left w:w="15" w:type="dxa"/>
              <w:bottom w:w="15" w:type="dxa"/>
              <w:right w:w="15" w:type="dxa"/>
            </w:tcMar>
            <w:vAlign w:val="center"/>
          </w:tcPr>
          <w:p w:rsidR="00B1146D" w:rsidRDefault="00717A52">
            <w:pPr>
              <w:spacing w:before="25" w:after="0"/>
              <w:jc w:val="center"/>
            </w:pPr>
            <w:r>
              <w:rPr>
                <w:color w:val="000000"/>
              </w:rPr>
              <w:t>H.-G. PÖTTERING</w:t>
            </w:r>
          </w:p>
        </w:tc>
        <w:tc>
          <w:tcPr>
            <w:tcW w:w="6141" w:type="dxa"/>
            <w:tcMar>
              <w:top w:w="15" w:type="dxa"/>
              <w:left w:w="15" w:type="dxa"/>
              <w:bottom w:w="15" w:type="dxa"/>
              <w:right w:w="15" w:type="dxa"/>
            </w:tcMar>
            <w:vAlign w:val="center"/>
          </w:tcPr>
          <w:p w:rsidR="00B1146D" w:rsidRDefault="00717A52">
            <w:pPr>
              <w:spacing w:before="25" w:after="0"/>
              <w:jc w:val="center"/>
            </w:pPr>
            <w:r>
              <w:rPr>
                <w:color w:val="000000"/>
              </w:rPr>
              <w:t>J.-P. JOUYET</w:t>
            </w:r>
          </w:p>
        </w:tc>
      </w:tr>
      <w:tr w:rsidR="00B1146D">
        <w:trPr>
          <w:trHeight w:val="30"/>
          <w:tblCellSpacing w:w="0" w:type="auto"/>
        </w:trPr>
        <w:tc>
          <w:tcPr>
            <w:tcW w:w="6142" w:type="dxa"/>
            <w:tcMar>
              <w:top w:w="15" w:type="dxa"/>
              <w:left w:w="15" w:type="dxa"/>
              <w:bottom w:w="15" w:type="dxa"/>
              <w:right w:w="15" w:type="dxa"/>
            </w:tcMar>
            <w:vAlign w:val="center"/>
          </w:tcPr>
          <w:p w:rsidR="00B1146D" w:rsidRDefault="00717A52">
            <w:pPr>
              <w:spacing w:before="25" w:after="0"/>
              <w:jc w:val="center"/>
            </w:pPr>
            <w:r>
              <w:rPr>
                <w:i/>
                <w:color w:val="000000"/>
              </w:rPr>
              <w:t>Przewodniczący</w:t>
            </w:r>
          </w:p>
        </w:tc>
        <w:tc>
          <w:tcPr>
            <w:tcW w:w="6141" w:type="dxa"/>
            <w:tcMar>
              <w:top w:w="15" w:type="dxa"/>
              <w:left w:w="15" w:type="dxa"/>
              <w:bottom w:w="15" w:type="dxa"/>
              <w:right w:w="15" w:type="dxa"/>
            </w:tcMar>
            <w:vAlign w:val="center"/>
          </w:tcPr>
          <w:p w:rsidR="00B1146D" w:rsidRDefault="00717A52">
            <w:pPr>
              <w:spacing w:before="25" w:after="0"/>
              <w:jc w:val="center"/>
            </w:pPr>
            <w:r>
              <w:rPr>
                <w:color w:val="000000"/>
              </w:rPr>
              <w:t>Przewodniczący</w:t>
            </w:r>
          </w:p>
        </w:tc>
      </w:tr>
    </w:tbl>
    <w:p w:rsidR="00B1146D" w:rsidRDefault="00B1146D">
      <w:pPr>
        <w:spacing w:after="0"/>
      </w:pPr>
    </w:p>
    <w:p w:rsidR="00B1146D" w:rsidRDefault="00717A52">
      <w:pPr>
        <w:spacing w:before="80" w:after="0"/>
        <w:jc w:val="center"/>
      </w:pPr>
      <w:r>
        <w:rPr>
          <w:b/>
          <w:color w:val="000000"/>
        </w:rPr>
        <w:t xml:space="preserve">ZAŁĄCZNIKI </w:t>
      </w:r>
    </w:p>
    <w:p w:rsidR="00B1146D" w:rsidRDefault="00B1146D">
      <w:pPr>
        <w:spacing w:after="0"/>
      </w:pPr>
    </w:p>
    <w:p w:rsidR="00B1146D" w:rsidRDefault="00717A52">
      <w:pPr>
        <w:spacing w:before="80" w:after="0"/>
        <w:jc w:val="center"/>
      </w:pPr>
      <w:r>
        <w:rPr>
          <w:b/>
          <w:color w:val="000000"/>
        </w:rPr>
        <w:t xml:space="preserve">ZAŁĄCZNIK  I </w:t>
      </w:r>
    </w:p>
    <w:p w:rsidR="00B1146D" w:rsidRDefault="00717A52">
      <w:pPr>
        <w:spacing w:before="25" w:after="0"/>
        <w:jc w:val="center"/>
      </w:pPr>
      <w:r>
        <w:rPr>
          <w:b/>
          <w:color w:val="000000"/>
        </w:rPr>
        <w:t>PROCESY UNIESZKODLIWIANIA</w:t>
      </w:r>
    </w:p>
    <w:p w:rsidR="00B1146D" w:rsidRDefault="00717A52">
      <w:pPr>
        <w:spacing w:after="0"/>
      </w:pPr>
      <w:r>
        <w:rPr>
          <w:color w:val="000000"/>
        </w:rPr>
        <w:t>D 1 Składowanie w gruncie lub na powierzchni ziemi (np. składowiska itp.).</w:t>
      </w:r>
    </w:p>
    <w:p w:rsidR="00B1146D" w:rsidRDefault="00717A52">
      <w:pPr>
        <w:spacing w:before="25" w:after="0"/>
        <w:jc w:val="both"/>
      </w:pPr>
      <w:r>
        <w:rPr>
          <w:color w:val="000000"/>
        </w:rPr>
        <w:t xml:space="preserve">D 2 Przetwarzanie w </w:t>
      </w:r>
      <w:r>
        <w:rPr>
          <w:color w:val="000000"/>
        </w:rPr>
        <w:t>glebie i ziemi (np. biodegradacja odpadów płynnych lub szlamów w glebie i ziemi itd.).</w:t>
      </w:r>
    </w:p>
    <w:p w:rsidR="00B1146D" w:rsidRDefault="00717A52">
      <w:pPr>
        <w:spacing w:before="25" w:after="0"/>
        <w:jc w:val="both"/>
      </w:pPr>
      <w:r>
        <w:rPr>
          <w:color w:val="000000"/>
        </w:rPr>
        <w:t>D 3 Głębokie zatłaczanie (np. zatłaczanie odpadów w postaci umożliwiającej pompowanie do odwiertów, wysadów solnych lub naturalnie powstających komór itd.).</w:t>
      </w:r>
    </w:p>
    <w:p w:rsidR="00B1146D" w:rsidRDefault="00717A52">
      <w:pPr>
        <w:spacing w:before="25" w:after="0"/>
        <w:jc w:val="both"/>
      </w:pPr>
      <w:r>
        <w:rPr>
          <w:color w:val="000000"/>
        </w:rPr>
        <w:t>D 4 Retencja</w:t>
      </w:r>
      <w:r>
        <w:rPr>
          <w:color w:val="000000"/>
        </w:rPr>
        <w:t xml:space="preserve"> powierzchniowa (np. umieszczanie odpadów ciekłych i szlamów w dołach, poletkach osadowych lub lagunach itd.).</w:t>
      </w:r>
    </w:p>
    <w:p w:rsidR="00B1146D" w:rsidRDefault="00717A52">
      <w:pPr>
        <w:spacing w:before="25" w:after="0"/>
        <w:jc w:val="both"/>
      </w:pPr>
      <w:r>
        <w:rPr>
          <w:color w:val="000000"/>
        </w:rPr>
        <w:t>D 5 Składowanie na składowiskach w sposób celowo zaprojektowany (np. umieszczanie w uszczelnionych oddzielnych komorach, przykrytych i izolowanyc</w:t>
      </w:r>
      <w:r>
        <w:rPr>
          <w:color w:val="000000"/>
        </w:rPr>
        <w:t>h od siebie wzajemnie i od środowiska, itd.).</w:t>
      </w:r>
    </w:p>
    <w:p w:rsidR="00B1146D" w:rsidRDefault="00717A52">
      <w:pPr>
        <w:spacing w:before="25" w:after="0"/>
        <w:jc w:val="both"/>
      </w:pPr>
      <w:r>
        <w:rPr>
          <w:color w:val="000000"/>
        </w:rPr>
        <w:t>D 6 Odprowadzanie do wód z wyjątkiem mórz/oceanów.</w:t>
      </w:r>
    </w:p>
    <w:p w:rsidR="00B1146D" w:rsidRDefault="00717A52">
      <w:pPr>
        <w:spacing w:before="25" w:after="0"/>
        <w:jc w:val="both"/>
      </w:pPr>
      <w:r>
        <w:rPr>
          <w:color w:val="000000"/>
        </w:rPr>
        <w:t>D 7 Odprowadzanie do mórz/oceanów, w tym lokowanie na dnie mórz.</w:t>
      </w:r>
    </w:p>
    <w:p w:rsidR="00B1146D" w:rsidRDefault="00717A52">
      <w:pPr>
        <w:spacing w:before="25" w:after="0"/>
        <w:jc w:val="both"/>
      </w:pPr>
      <w:r>
        <w:rPr>
          <w:color w:val="000000"/>
        </w:rPr>
        <w:t>D 8 Obróbka biologiczna, niewymieniona w innym punkcie niniejszego załącznika, w wyniku której</w:t>
      </w:r>
      <w:r>
        <w:rPr>
          <w:color w:val="000000"/>
        </w:rPr>
        <w:t xml:space="preserve"> powstają ostateczne związki lub mieszanki, które są usuwane za pomocą któregokolwiek spośród procesów wymienionych w punktach D 1-D 12.</w:t>
      </w:r>
    </w:p>
    <w:p w:rsidR="00B1146D" w:rsidRDefault="00717A52">
      <w:pPr>
        <w:spacing w:before="25" w:after="0"/>
        <w:jc w:val="both"/>
      </w:pPr>
      <w:r>
        <w:rPr>
          <w:color w:val="000000"/>
        </w:rPr>
        <w:t>D 9 Obróbka fizyczno-chemiczna, niewymieniona w innym punkcie niniejszego załącznika, w wyniku której powstają ostatecz</w:t>
      </w:r>
      <w:r>
        <w:rPr>
          <w:color w:val="000000"/>
        </w:rPr>
        <w:t>ne związki lub mieszaniny usuwane za pomocą któregokolwiek spośród procesów wymienionych w punktach D 1-D 12 (np. odparowanie, suszenie, kalcynacja itp.).</w:t>
      </w:r>
    </w:p>
    <w:p w:rsidR="00B1146D" w:rsidRDefault="00717A52">
      <w:pPr>
        <w:spacing w:before="25" w:after="0"/>
        <w:jc w:val="both"/>
      </w:pPr>
      <w:r>
        <w:rPr>
          <w:color w:val="000000"/>
        </w:rPr>
        <w:t>D 10 Przekształcanie termiczne na lądzie.</w:t>
      </w:r>
    </w:p>
    <w:p w:rsidR="00B1146D" w:rsidRDefault="00717A52">
      <w:pPr>
        <w:spacing w:before="25" w:after="0"/>
        <w:jc w:val="both"/>
      </w:pPr>
      <w:r>
        <w:rPr>
          <w:color w:val="000000"/>
        </w:rPr>
        <w:t xml:space="preserve">D 11 Przekształcanie termiczne na morzu </w:t>
      </w:r>
      <w:r>
        <w:rPr>
          <w:color w:val="000000"/>
          <w:vertAlign w:val="superscript"/>
        </w:rPr>
        <w:t>*</w:t>
      </w:r>
      <w:r>
        <w:rPr>
          <w:color w:val="000000"/>
        </w:rPr>
        <w:t xml:space="preserve"> .</w:t>
      </w:r>
    </w:p>
    <w:p w:rsidR="00B1146D" w:rsidRDefault="00717A52">
      <w:pPr>
        <w:spacing w:before="25" w:after="0"/>
        <w:jc w:val="both"/>
      </w:pPr>
      <w:r>
        <w:rPr>
          <w:color w:val="000000"/>
        </w:rPr>
        <w:t>D 12 Trwałe skł</w:t>
      </w:r>
      <w:r>
        <w:rPr>
          <w:color w:val="000000"/>
        </w:rPr>
        <w:t>adowanie (np. umieszczanie pojemników w kopalniach itd.).</w:t>
      </w:r>
    </w:p>
    <w:p w:rsidR="00B1146D" w:rsidRDefault="00717A52">
      <w:pPr>
        <w:spacing w:before="25" w:after="0"/>
        <w:jc w:val="both"/>
      </w:pPr>
      <w:r>
        <w:rPr>
          <w:color w:val="000000"/>
        </w:rPr>
        <w:t xml:space="preserve">D 13 Sporządzanie mieszanki lub mieszanie przed poddaniem odpadów któremukolwiek z procesów wymienionych w punktach D 1-D 12 </w:t>
      </w:r>
      <w:r>
        <w:rPr>
          <w:color w:val="000000"/>
          <w:vertAlign w:val="superscript"/>
        </w:rPr>
        <w:t>**</w:t>
      </w:r>
      <w:r>
        <w:rPr>
          <w:color w:val="000000"/>
        </w:rPr>
        <w:t xml:space="preserve"> .</w:t>
      </w:r>
    </w:p>
    <w:p w:rsidR="00B1146D" w:rsidRDefault="00717A52">
      <w:pPr>
        <w:spacing w:before="25" w:after="0"/>
        <w:jc w:val="both"/>
      </w:pPr>
      <w:r>
        <w:rPr>
          <w:color w:val="000000"/>
        </w:rPr>
        <w:t>D 14 Przepakowywanie przed poddaniem któremukolwiek z procesów wymie</w:t>
      </w:r>
      <w:r>
        <w:rPr>
          <w:color w:val="000000"/>
        </w:rPr>
        <w:t>nionych w punktach D 1-D 13.</w:t>
      </w:r>
    </w:p>
    <w:p w:rsidR="00B1146D" w:rsidRDefault="00717A52">
      <w:pPr>
        <w:spacing w:before="25" w:after="0"/>
        <w:jc w:val="both"/>
      </w:pPr>
      <w:r>
        <w:rPr>
          <w:color w:val="000000"/>
        </w:rPr>
        <w:t xml:space="preserve">D 15 Magazynowanie poprzedzające którykolwiek z procesów wymienionych w punktach D 1-D 14 (z wyjątkiem tymczasowego magazynowania, przed zbieraniem, w miejscu gdzie odpady są wytwarzane) </w:t>
      </w:r>
      <w:r>
        <w:rPr>
          <w:color w:val="000000"/>
          <w:vertAlign w:val="superscript"/>
        </w:rPr>
        <w:t>***</w:t>
      </w:r>
      <w:r>
        <w:rPr>
          <w:color w:val="000000"/>
        </w:rPr>
        <w:t xml:space="preserve"> .</w:t>
      </w:r>
    </w:p>
    <w:p w:rsidR="00B1146D" w:rsidRDefault="00B1146D">
      <w:pPr>
        <w:spacing w:after="0"/>
      </w:pPr>
    </w:p>
    <w:p w:rsidR="00B1146D" w:rsidRDefault="00717A52">
      <w:pPr>
        <w:spacing w:before="80" w:after="0"/>
        <w:jc w:val="center"/>
      </w:pPr>
      <w:r>
        <w:rPr>
          <w:b/>
          <w:color w:val="000000"/>
        </w:rPr>
        <w:t xml:space="preserve">ZAŁĄCZNIK  II </w:t>
      </w:r>
    </w:p>
    <w:p w:rsidR="00B1146D" w:rsidRDefault="00717A52">
      <w:pPr>
        <w:spacing w:before="25" w:after="0"/>
        <w:jc w:val="center"/>
      </w:pPr>
      <w:r>
        <w:rPr>
          <w:b/>
          <w:color w:val="000000"/>
        </w:rPr>
        <w:t>PROCESY ODZYSKU</w:t>
      </w:r>
    </w:p>
    <w:p w:rsidR="00B1146D" w:rsidRDefault="00717A52">
      <w:pPr>
        <w:spacing w:after="0"/>
      </w:pPr>
      <w:r>
        <w:rPr>
          <w:color w:val="000000"/>
        </w:rPr>
        <w:t xml:space="preserve">R </w:t>
      </w:r>
      <w:r>
        <w:rPr>
          <w:color w:val="000000"/>
        </w:rPr>
        <w:t xml:space="preserve">1 Wykorzystanie głównie jako paliwa lub innego środka wytwarzania energii </w:t>
      </w:r>
      <w:r>
        <w:rPr>
          <w:color w:val="000000"/>
          <w:vertAlign w:val="superscript"/>
        </w:rPr>
        <w:t>*</w:t>
      </w:r>
      <w:r>
        <w:rPr>
          <w:color w:val="000000"/>
        </w:rPr>
        <w:t xml:space="preserve"> </w:t>
      </w:r>
    </w:p>
    <w:p w:rsidR="00B1146D" w:rsidRDefault="00717A52">
      <w:pPr>
        <w:spacing w:before="25" w:after="0"/>
        <w:jc w:val="both"/>
      </w:pPr>
      <w:r>
        <w:rPr>
          <w:color w:val="000000"/>
        </w:rPr>
        <w:t>R 2 Odzysk/regeneracja rozpuszczalników</w:t>
      </w:r>
    </w:p>
    <w:p w:rsidR="00B1146D" w:rsidRDefault="00717A52">
      <w:pPr>
        <w:spacing w:before="25" w:after="0"/>
        <w:jc w:val="both"/>
      </w:pPr>
      <w:r>
        <w:rPr>
          <w:color w:val="000000"/>
        </w:rPr>
        <w:t>R 3 Recykling/odzysk substancji organicznych, które nie są stosowane jako rozpuszczalniki (w tym kompostowanie i inne biologiczne procesy p</w:t>
      </w:r>
      <w:r>
        <w:rPr>
          <w:color w:val="000000"/>
        </w:rPr>
        <w:t xml:space="preserve">rzekształcania) </w:t>
      </w:r>
      <w:r>
        <w:rPr>
          <w:color w:val="000000"/>
          <w:vertAlign w:val="superscript"/>
        </w:rPr>
        <w:t>**</w:t>
      </w:r>
      <w:r>
        <w:rPr>
          <w:color w:val="000000"/>
        </w:rPr>
        <w:t xml:space="preserve"> </w:t>
      </w:r>
    </w:p>
    <w:p w:rsidR="00B1146D" w:rsidRDefault="00717A52">
      <w:pPr>
        <w:spacing w:before="25" w:after="0"/>
        <w:jc w:val="both"/>
      </w:pPr>
      <w:r>
        <w:rPr>
          <w:color w:val="000000"/>
        </w:rPr>
        <w:t>R 4 Recykling/odzysk metali i związków metali</w:t>
      </w:r>
    </w:p>
    <w:p w:rsidR="00B1146D" w:rsidRDefault="00717A52">
      <w:pPr>
        <w:spacing w:before="25" w:after="0"/>
        <w:jc w:val="both"/>
      </w:pPr>
      <w:r>
        <w:rPr>
          <w:color w:val="000000"/>
        </w:rPr>
        <w:t xml:space="preserve">R 5 Recykling/odzysk innych materiałów nieorganicznych </w:t>
      </w:r>
      <w:r>
        <w:rPr>
          <w:color w:val="000000"/>
          <w:vertAlign w:val="superscript"/>
        </w:rPr>
        <w:t>***</w:t>
      </w:r>
      <w:r>
        <w:rPr>
          <w:color w:val="000000"/>
        </w:rPr>
        <w:t xml:space="preserve"> </w:t>
      </w:r>
    </w:p>
    <w:p w:rsidR="00B1146D" w:rsidRDefault="00717A52">
      <w:pPr>
        <w:spacing w:before="25" w:after="0"/>
        <w:jc w:val="both"/>
      </w:pPr>
      <w:r>
        <w:rPr>
          <w:color w:val="000000"/>
        </w:rPr>
        <w:t>R 6 Regeneracja kwasów lub zasad</w:t>
      </w:r>
    </w:p>
    <w:p w:rsidR="00B1146D" w:rsidRDefault="00717A52">
      <w:pPr>
        <w:spacing w:before="25" w:after="0"/>
        <w:jc w:val="both"/>
      </w:pPr>
      <w:r>
        <w:rPr>
          <w:color w:val="000000"/>
        </w:rPr>
        <w:t>R 7 Odzysk składników stosowanych do redukcji zanieczyszczeń</w:t>
      </w:r>
    </w:p>
    <w:p w:rsidR="00B1146D" w:rsidRDefault="00717A52">
      <w:pPr>
        <w:spacing w:before="25" w:after="0"/>
        <w:jc w:val="both"/>
      </w:pPr>
      <w:r>
        <w:rPr>
          <w:color w:val="000000"/>
        </w:rPr>
        <w:t xml:space="preserve">R 8 Odzysk składników z </w:t>
      </w:r>
      <w:r>
        <w:rPr>
          <w:color w:val="000000"/>
        </w:rPr>
        <w:t>katalizatorów</w:t>
      </w:r>
    </w:p>
    <w:p w:rsidR="00B1146D" w:rsidRDefault="00717A52">
      <w:pPr>
        <w:spacing w:before="25" w:after="0"/>
        <w:jc w:val="both"/>
      </w:pPr>
      <w:r>
        <w:rPr>
          <w:color w:val="000000"/>
        </w:rPr>
        <w:t>R 9 Powtórna rafinacja lub inne sposoby ponownego użycia olejów</w:t>
      </w:r>
    </w:p>
    <w:p w:rsidR="00B1146D" w:rsidRDefault="00717A52">
      <w:pPr>
        <w:spacing w:before="25" w:after="0"/>
        <w:jc w:val="both"/>
      </w:pPr>
      <w:r>
        <w:rPr>
          <w:color w:val="000000"/>
        </w:rPr>
        <w:t>R 10 Obróbka na powierzchni ziemi przynosząca korzyści w rolnictwa lub poprawę stanu środowiska</w:t>
      </w:r>
    </w:p>
    <w:p w:rsidR="00B1146D" w:rsidRDefault="00717A52">
      <w:pPr>
        <w:spacing w:before="25" w:after="0"/>
        <w:jc w:val="both"/>
      </w:pPr>
      <w:r>
        <w:rPr>
          <w:color w:val="000000"/>
        </w:rPr>
        <w:t>R 11 Wykorzystywanie odpadów uzyskanych w wyniku któregokolwiek z procesów wymieni</w:t>
      </w:r>
      <w:r>
        <w:rPr>
          <w:color w:val="000000"/>
        </w:rPr>
        <w:t>onych w punktach R 1-R 10</w:t>
      </w:r>
    </w:p>
    <w:p w:rsidR="00B1146D" w:rsidRDefault="00717A52">
      <w:pPr>
        <w:spacing w:before="25" w:after="0"/>
        <w:jc w:val="both"/>
      </w:pPr>
      <w:r>
        <w:rPr>
          <w:color w:val="000000"/>
        </w:rPr>
        <w:t xml:space="preserve">R 12 Wymiana odpadów w celu poddania ich któremukolwiek z procesów wymienionych w punktach R 1-R 11 </w:t>
      </w:r>
      <w:r>
        <w:rPr>
          <w:color w:val="000000"/>
          <w:vertAlign w:val="superscript"/>
        </w:rPr>
        <w:t>****</w:t>
      </w:r>
      <w:r>
        <w:rPr>
          <w:color w:val="000000"/>
        </w:rPr>
        <w:t xml:space="preserve"> </w:t>
      </w:r>
    </w:p>
    <w:p w:rsidR="00B1146D" w:rsidRDefault="00717A52">
      <w:pPr>
        <w:spacing w:before="25" w:after="0"/>
        <w:jc w:val="both"/>
      </w:pPr>
      <w:r>
        <w:rPr>
          <w:color w:val="000000"/>
        </w:rPr>
        <w:t xml:space="preserve">R 13 Magazynowanie odpadów poprzedzające którykolwiek z procesów wymienionych w punktach R 1-R 12 (z wyjątkiem tymczasowego magazynowania, poprzedzające zbieranie, w miejscu gdzie odpady są wytwarzane) </w:t>
      </w:r>
      <w:r>
        <w:rPr>
          <w:color w:val="000000"/>
          <w:vertAlign w:val="superscript"/>
        </w:rPr>
        <w:t>*****</w:t>
      </w:r>
      <w:r>
        <w:rPr>
          <w:color w:val="000000"/>
        </w:rPr>
        <w:t xml:space="preserve"> </w:t>
      </w:r>
    </w:p>
    <w:p w:rsidR="00B1146D" w:rsidRDefault="00717A52">
      <w:pPr>
        <w:spacing w:before="25" w:after="0"/>
        <w:jc w:val="both"/>
      </w:pPr>
      <w:r>
        <w:rPr>
          <w:color w:val="000000"/>
        </w:rPr>
        <w:t>- 0,60 dla działających instalacji, które otrzy</w:t>
      </w:r>
      <w:r>
        <w:rPr>
          <w:color w:val="000000"/>
        </w:rPr>
        <w:t>mały zezwolenie zgodnie ze stosowanymi przepisami wspólnotowymi obowiązującymi przed dniem 1 stycznia 2009 r.,</w:t>
      </w:r>
    </w:p>
    <w:p w:rsidR="00B1146D" w:rsidRDefault="00717A52">
      <w:pPr>
        <w:spacing w:before="25" w:after="0"/>
        <w:jc w:val="both"/>
      </w:pPr>
      <w:r>
        <w:rPr>
          <w:color w:val="000000"/>
        </w:rPr>
        <w:t>- 0,65 dla instalacji, które otrzymały zezwolenie po dniu 31 grudnia 2008 r.,</w:t>
      </w:r>
    </w:p>
    <w:p w:rsidR="00B1146D" w:rsidRDefault="00717A52">
      <w:pPr>
        <w:spacing w:before="25" w:after="0"/>
        <w:jc w:val="both"/>
      </w:pPr>
      <w:r>
        <w:rPr>
          <w:color w:val="000000"/>
        </w:rPr>
        <w:t>przy zastosowaniu następującego wzoru:</w:t>
      </w:r>
    </w:p>
    <w:p w:rsidR="00B1146D" w:rsidRDefault="00717A52">
      <w:pPr>
        <w:spacing w:before="25" w:after="0"/>
        <w:jc w:val="both"/>
      </w:pPr>
      <w:r>
        <w:rPr>
          <w:color w:val="000000"/>
        </w:rPr>
        <w:t>Efektywność energetyczna = (</w:t>
      </w:r>
      <w:r>
        <w:rPr>
          <w:color w:val="000000"/>
        </w:rPr>
        <w:t>Ep - (Ef + Ei))/(0,97 × (Ew + Ef))</w:t>
      </w:r>
    </w:p>
    <w:p w:rsidR="00B1146D" w:rsidRDefault="00717A52">
      <w:pPr>
        <w:spacing w:before="25" w:after="0"/>
        <w:jc w:val="both"/>
      </w:pPr>
      <w:r>
        <w:rPr>
          <w:color w:val="000000"/>
        </w:rPr>
        <w:t>gdzie:</w:t>
      </w:r>
    </w:p>
    <w:p w:rsidR="00B1146D" w:rsidRDefault="00717A52">
      <w:pPr>
        <w:spacing w:before="25" w:after="0"/>
        <w:jc w:val="both"/>
      </w:pPr>
      <w:r>
        <w:rPr>
          <w:color w:val="000000"/>
        </w:rPr>
        <w:t>Ep oznacza ilość energii produkowanej rocznie jako energia cieplna lub elektryczna. Oblicza się ją przez pomnożenie ilości energii elektrycznej przez 2,6 a energii cieplnej wyprodukowanej w celach komercyjnych prze</w:t>
      </w:r>
      <w:r>
        <w:rPr>
          <w:color w:val="000000"/>
        </w:rPr>
        <w:t>z 1,1 (GJ/rok).</w:t>
      </w:r>
    </w:p>
    <w:p w:rsidR="00B1146D" w:rsidRDefault="00717A52">
      <w:pPr>
        <w:spacing w:before="25" w:after="0"/>
        <w:jc w:val="both"/>
      </w:pPr>
      <w:r>
        <w:rPr>
          <w:color w:val="000000"/>
        </w:rPr>
        <w:t>Ef oznacza ilość energii wprowadzanej rocznie do systemu, pochodzącej ze spalania paliw biorących udział w wytwarzaniu pary (GJ/rok).</w:t>
      </w:r>
    </w:p>
    <w:p w:rsidR="00B1146D" w:rsidRDefault="00717A52">
      <w:pPr>
        <w:spacing w:before="25" w:after="0"/>
        <w:jc w:val="both"/>
      </w:pPr>
      <w:r>
        <w:rPr>
          <w:color w:val="000000"/>
        </w:rPr>
        <w:t>Ew oznacza roczną ilość energii zawartej w przetwarzanych odpadach, obliczanej przy zastosowaniu dolnej wa</w:t>
      </w:r>
      <w:r>
        <w:rPr>
          <w:color w:val="000000"/>
        </w:rPr>
        <w:t>rtości opałowej odpadów (GJ/rok).</w:t>
      </w:r>
    </w:p>
    <w:p w:rsidR="00B1146D" w:rsidRDefault="00717A52">
      <w:pPr>
        <w:spacing w:before="25" w:after="0"/>
        <w:jc w:val="both"/>
      </w:pPr>
      <w:r>
        <w:rPr>
          <w:color w:val="000000"/>
        </w:rPr>
        <w:t>Ei oznacza roczną ilość energii wprowadzanej z zewnątrz z wyłączeniem Ew i Ef (GJ/rok). 0,97 jest współczynnikiem uwzględniającym straty energii przez popiół denny i promieniowanie.</w:t>
      </w:r>
    </w:p>
    <w:p w:rsidR="00B1146D" w:rsidRDefault="00717A52">
      <w:pPr>
        <w:spacing w:before="25" w:after="0"/>
        <w:jc w:val="both"/>
      </w:pPr>
      <w:r>
        <w:rPr>
          <w:color w:val="000000"/>
        </w:rPr>
        <w:t>Wzór ten stosowany jest zgodnie z dokume</w:t>
      </w:r>
      <w:r>
        <w:rPr>
          <w:color w:val="000000"/>
        </w:rPr>
        <w:t>ntem referencyjnym dotyczącym najlepszych dostępnych technik dla termicznego przekształcania odpadów.</w:t>
      </w:r>
    </w:p>
    <w:p w:rsidR="00B1146D" w:rsidRDefault="00B1146D">
      <w:pPr>
        <w:spacing w:after="0"/>
      </w:pPr>
    </w:p>
    <w:p w:rsidR="00B1146D" w:rsidRDefault="00717A52">
      <w:pPr>
        <w:spacing w:before="80" w:after="0"/>
        <w:jc w:val="center"/>
      </w:pPr>
      <w:r>
        <w:rPr>
          <w:b/>
          <w:color w:val="000000"/>
        </w:rPr>
        <w:t xml:space="preserve">ZAŁĄCZNIK  III </w:t>
      </w:r>
    </w:p>
    <w:p w:rsidR="00B1146D" w:rsidRDefault="00717A52">
      <w:pPr>
        <w:spacing w:before="25" w:after="0"/>
        <w:jc w:val="center"/>
      </w:pPr>
      <w:r>
        <w:rPr>
          <w:b/>
          <w:color w:val="000000"/>
        </w:rPr>
        <w:t xml:space="preserve">  </w:t>
      </w:r>
      <w:r>
        <w:rPr>
          <w:b/>
          <w:color w:val="000000"/>
          <w:vertAlign w:val="superscript"/>
        </w:rPr>
        <w:t>29</w:t>
      </w:r>
      <w:r>
        <w:rPr>
          <w:b/>
          <w:color w:val="000000"/>
        </w:rPr>
        <w:t xml:space="preserve"> </w:t>
      </w:r>
    </w:p>
    <w:p w:rsidR="00B1146D" w:rsidRDefault="00717A52">
      <w:pPr>
        <w:spacing w:before="25" w:after="0"/>
        <w:jc w:val="center"/>
      </w:pPr>
      <w:r>
        <w:rPr>
          <w:b/>
          <w:color w:val="000000"/>
        </w:rPr>
        <w:t>WŁAŚCIWOŚCI ODPADÓW, KTÓRE CZYNIĄ Z NICH ODPADY NIEBEZPIECZNE</w:t>
      </w:r>
    </w:p>
    <w:p w:rsidR="00B1146D" w:rsidRDefault="00717A52">
      <w:pPr>
        <w:spacing w:after="0"/>
      </w:pPr>
      <w:r>
        <w:rPr>
          <w:b/>
          <w:color w:val="000000"/>
        </w:rPr>
        <w:t xml:space="preserve">HP 1 "Wybuchowe": </w:t>
      </w:r>
      <w:r>
        <w:rPr>
          <w:color w:val="000000"/>
        </w:rPr>
        <w:t>odpady, które w wyniku reakcji chemicznej, mogą wyd</w:t>
      </w:r>
      <w:r>
        <w:rPr>
          <w:color w:val="000000"/>
        </w:rPr>
        <w:t>zielać gaz o takiej temperaturze i ciśnieniu i z taką szybkością, że mogą powodować zniszczenia w otoczeniu. Definicja obejmuje odpady pirotechniczne, odpady wybuchowego nadtlenku organicznego i wybuchowe samoreaktywne odpady.</w:t>
      </w:r>
    </w:p>
    <w:p w:rsidR="00B1146D" w:rsidRDefault="00717A52">
      <w:pPr>
        <w:spacing w:before="25" w:after="0"/>
        <w:jc w:val="both"/>
      </w:pPr>
      <w:r>
        <w:rPr>
          <w:color w:val="000000"/>
        </w:rPr>
        <w:t>Jeżeli odpady zawierają jedną</w:t>
      </w:r>
      <w:r>
        <w:rPr>
          <w:color w:val="000000"/>
        </w:rPr>
        <w:t xml:space="preserve"> substancję zaklasyfikowaną do jednej z klas zagrożenia i kodów kategorii zagrożenia oraz kodów zwrotów wskazujących rodzaj zagrożenia ujętych w tabeli 1, lub większą ich liczbę, odpady ocenia się jako należące do kategorii HP 1, tam gdzie to właściwe i pr</w:t>
      </w:r>
      <w:r>
        <w:rPr>
          <w:color w:val="000000"/>
        </w:rPr>
        <w:t>oporcjonalne, zgodnie z metodami badań. Jeżeli obecność substancji, mieszaniny lub wyrobu wskazuje, że odpady są wybuchowe, klasyfikuje się je jako odpady niebezpieczne kategorii HP 1.</w:t>
      </w:r>
    </w:p>
    <w:p w:rsidR="00B1146D" w:rsidRDefault="00717A52">
      <w:pPr>
        <w:spacing w:before="25" w:after="0"/>
        <w:jc w:val="both"/>
      </w:pPr>
      <w:r>
        <w:rPr>
          <w:color w:val="000000"/>
        </w:rPr>
        <w:t xml:space="preserve">Tabela 1: Klasa zagrożenia i kod(-y) kategorii zagrożenia oraz kod(-y) </w:t>
      </w:r>
      <w:r>
        <w:rPr>
          <w:color w:val="000000"/>
        </w:rPr>
        <w:t>zwrotów wskazujących rodzaj zagrożenia składników odpadów do celów klasyfikacji odpadów jako niebezpieczne zgodnie z HP 1:</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6119"/>
        <w:gridCol w:w="6246"/>
      </w:tblGrid>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Klasa zagrożenia i kod(-y) kategorii</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Kod(-y) zwrotów wskazujących rodzaj zagrożenia</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Unst. Expl.</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200</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Expl. 1.1</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201</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Expl. 1.2</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 xml:space="preserve">H </w:t>
            </w:r>
            <w:r>
              <w:rPr>
                <w:color w:val="000000"/>
              </w:rPr>
              <w:t>202</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Expl. 1.3</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203</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Expl. 1.4</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204</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Self-react. A</w:t>
            </w:r>
          </w:p>
        </w:tc>
        <w:tc>
          <w:tcPr>
            <w:tcW w:w="6246"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240</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Org. Perox. A</w:t>
            </w:r>
          </w:p>
        </w:tc>
        <w:tc>
          <w:tcPr>
            <w:tcW w:w="0" w:type="auto"/>
            <w:vMerge/>
            <w:tcBorders>
              <w:top w:val="nil"/>
              <w:bottom w:val="single" w:sz="8" w:space="0" w:color="000000"/>
            </w:tcBorders>
          </w:tcPr>
          <w:p w:rsidR="00B1146D" w:rsidRDefault="00B1146D"/>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Self-react. B</w:t>
            </w:r>
          </w:p>
        </w:tc>
        <w:tc>
          <w:tcPr>
            <w:tcW w:w="6246"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241</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Org. Perox. B</w:t>
            </w:r>
          </w:p>
        </w:tc>
        <w:tc>
          <w:tcPr>
            <w:tcW w:w="0" w:type="auto"/>
            <w:vMerge/>
            <w:tcBorders>
              <w:top w:val="nil"/>
              <w:bottom w:val="single" w:sz="8" w:space="0" w:color="000000"/>
            </w:tcBorders>
          </w:tcPr>
          <w:p w:rsidR="00B1146D" w:rsidRDefault="00B1146D"/>
        </w:tc>
      </w:tr>
    </w:tbl>
    <w:p w:rsidR="00B1146D" w:rsidRDefault="00717A52">
      <w:pPr>
        <w:spacing w:before="25" w:after="0"/>
        <w:jc w:val="both"/>
      </w:pPr>
      <w:r>
        <w:rPr>
          <w:b/>
          <w:color w:val="000000"/>
        </w:rPr>
        <w:t xml:space="preserve">HP 2 "Utleniające": </w:t>
      </w:r>
      <w:r>
        <w:rPr>
          <w:color w:val="000000"/>
        </w:rPr>
        <w:t xml:space="preserve">odpady, które mogą, zazwyczaj poprzez utlenianie, spowodować zapalenie się innych materiałów lub przyczynić się do ich </w:t>
      </w:r>
      <w:r>
        <w:rPr>
          <w:color w:val="000000"/>
        </w:rPr>
        <w:t>spalenia.</w:t>
      </w:r>
    </w:p>
    <w:p w:rsidR="00B1146D" w:rsidRDefault="00717A52">
      <w:pPr>
        <w:spacing w:before="25" w:after="0"/>
        <w:jc w:val="both"/>
      </w:pPr>
      <w:r>
        <w:rPr>
          <w:color w:val="000000"/>
        </w:rPr>
        <w:t>Jeżeli odpady zawierają jedną lub więcej substancji zaklasyfikowanych do jednej z klas zagrożenia i kodów kategorii zagrożenia oraz kodów zwrotów wskazujących rodzaj zagrożenia ujętych w tabeli 2, odpady ocenia się jako należące do kategorii HP 2</w:t>
      </w:r>
      <w:r>
        <w:rPr>
          <w:color w:val="000000"/>
        </w:rPr>
        <w:t>, tam gdzie to właściwe i proporcjonalne, zgodnie z metodami badań. Jeżeli obecność substancji wskazuje, że odpady są utleniające, klasyfikuje się je jako odpady niebezpieczne zgodnie z HP 2.</w:t>
      </w:r>
    </w:p>
    <w:p w:rsidR="00B1146D" w:rsidRDefault="00717A52">
      <w:pPr>
        <w:spacing w:before="25" w:after="0"/>
        <w:jc w:val="both"/>
      </w:pPr>
      <w:r>
        <w:rPr>
          <w:color w:val="000000"/>
        </w:rPr>
        <w:t>Tabela 2: Klasa zagrożenia i kod(-y) kategorii zagrożenia oraz k</w:t>
      </w:r>
      <w:r>
        <w:rPr>
          <w:color w:val="000000"/>
        </w:rPr>
        <w:t>od(-y) zwrotów wskazujących rodzaj zagrożenia do celów klasyfikacji odpadów jako niebezpieczne zgodnie z HP 2:</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6119"/>
        <w:gridCol w:w="6246"/>
      </w:tblGrid>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Klasa zagrożenia i kod(-y) kategorii</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Kod(-y) zwrotów wskazujących rodzaj zagrożenia</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Ox. Gas 1</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270</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Ox. Liq. 1</w:t>
            </w:r>
          </w:p>
        </w:tc>
        <w:tc>
          <w:tcPr>
            <w:tcW w:w="6246"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271</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Ox. Sol. 1</w:t>
            </w:r>
          </w:p>
        </w:tc>
        <w:tc>
          <w:tcPr>
            <w:tcW w:w="0" w:type="auto"/>
            <w:vMerge/>
            <w:tcBorders>
              <w:top w:val="nil"/>
              <w:bottom w:val="single" w:sz="8" w:space="0" w:color="000000"/>
            </w:tcBorders>
          </w:tcPr>
          <w:p w:rsidR="00B1146D" w:rsidRDefault="00B1146D"/>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 xml:space="preserve">Ox. Liq. 2, </w:t>
            </w:r>
            <w:r>
              <w:rPr>
                <w:color w:val="000000"/>
              </w:rPr>
              <w:t>Ox. Liq. 3</w:t>
            </w:r>
          </w:p>
        </w:tc>
        <w:tc>
          <w:tcPr>
            <w:tcW w:w="6246"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 272</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Ox. Sol. 2, Ox. Sol. 3</w:t>
            </w:r>
          </w:p>
        </w:tc>
        <w:tc>
          <w:tcPr>
            <w:tcW w:w="0" w:type="auto"/>
            <w:vMerge/>
            <w:tcBorders>
              <w:top w:val="nil"/>
              <w:bottom w:val="single" w:sz="8" w:space="0" w:color="000000"/>
            </w:tcBorders>
          </w:tcPr>
          <w:p w:rsidR="00B1146D" w:rsidRDefault="00B1146D"/>
        </w:tc>
      </w:tr>
    </w:tbl>
    <w:p w:rsidR="00B1146D" w:rsidRDefault="00717A52">
      <w:pPr>
        <w:spacing w:before="25" w:after="0"/>
        <w:jc w:val="both"/>
      </w:pPr>
      <w:r>
        <w:rPr>
          <w:b/>
          <w:color w:val="000000"/>
        </w:rPr>
        <w:t>HP 3 "Łatwopalne":</w:t>
      </w:r>
    </w:p>
    <w:p w:rsidR="00B1146D" w:rsidRDefault="00717A52">
      <w:pPr>
        <w:spacing w:after="0"/>
      </w:pPr>
      <w:r>
        <w:rPr>
          <w:color w:val="000000"/>
        </w:rPr>
        <w:t>- łatwopalne odpady ciekłe: odpady ciekłe o temperaturze zapłonu poniżej 60 °C lub odpadowy olej gazowy, olej napędowy i lekkie oleje opałowe o temperaturze zapłonu &gt; 55 °C oraz ≤ 75 °C;</w:t>
      </w:r>
    </w:p>
    <w:p w:rsidR="00B1146D" w:rsidRDefault="00717A52">
      <w:pPr>
        <w:spacing w:after="0"/>
      </w:pPr>
      <w:r>
        <w:rPr>
          <w:color w:val="000000"/>
        </w:rPr>
        <w:t xml:space="preserve">- </w:t>
      </w:r>
      <w:r>
        <w:rPr>
          <w:color w:val="000000"/>
        </w:rPr>
        <w:t>łatwopalne odpady piroforyczne ciekłe i stałe: stałe lub ciekłe odpady, które nawet w małych ilościach mogą ulec zapaleniu w ciągu pięciu minut po wejściu w kontakt z powietrzem;</w:t>
      </w:r>
    </w:p>
    <w:p w:rsidR="00B1146D" w:rsidRDefault="00717A52">
      <w:pPr>
        <w:spacing w:after="0"/>
      </w:pPr>
      <w:r>
        <w:rPr>
          <w:color w:val="000000"/>
        </w:rPr>
        <w:t xml:space="preserve">- łatwopalne odpady stałe: odpady stałe, które łatwo ulegają zapaleniu lub w </w:t>
      </w:r>
      <w:r>
        <w:rPr>
          <w:color w:val="000000"/>
        </w:rPr>
        <w:t>wyniku tarcia mogą powodować zapalenie lub przyczyniać się do spalania;</w:t>
      </w:r>
    </w:p>
    <w:p w:rsidR="00B1146D" w:rsidRDefault="00717A52">
      <w:pPr>
        <w:spacing w:after="0"/>
      </w:pPr>
      <w:r>
        <w:rPr>
          <w:color w:val="000000"/>
        </w:rPr>
        <w:t>- łatwopalne odpady gazowe: odpady gazowe, które łatwo ulegają zapaleniu w powietrzu w temperaturze 20 °C i przy ciśnieniu normalnym 101,3 kPa;</w:t>
      </w:r>
    </w:p>
    <w:p w:rsidR="00B1146D" w:rsidRDefault="00717A52">
      <w:pPr>
        <w:spacing w:after="0"/>
      </w:pPr>
      <w:r>
        <w:rPr>
          <w:color w:val="000000"/>
        </w:rPr>
        <w:t>- odpady reagujące z wodą: odpady, które</w:t>
      </w:r>
      <w:r>
        <w:rPr>
          <w:color w:val="000000"/>
        </w:rPr>
        <w:t xml:space="preserve"> w kontakcie z wodą wydzielają gazy palne w niebezpiecznych ilościach;</w:t>
      </w:r>
    </w:p>
    <w:p w:rsidR="00B1146D" w:rsidRDefault="00717A52">
      <w:pPr>
        <w:spacing w:after="0"/>
      </w:pPr>
      <w:r>
        <w:rPr>
          <w:color w:val="000000"/>
        </w:rPr>
        <w:t>- inne łatwopalne odpady: wyroby aerozolowe łatwopalne, łatwopalne odpady samonagrzewające się, łatwopalne nadtlenki organiczne i łatwopalne odpady samoreaktywne.</w:t>
      </w:r>
    </w:p>
    <w:p w:rsidR="00B1146D" w:rsidRDefault="00717A52">
      <w:pPr>
        <w:spacing w:before="25" w:after="0"/>
        <w:jc w:val="both"/>
      </w:pPr>
      <w:r>
        <w:rPr>
          <w:color w:val="000000"/>
        </w:rPr>
        <w:t>Jeżeli odpady zawieraj</w:t>
      </w:r>
      <w:r>
        <w:rPr>
          <w:color w:val="000000"/>
        </w:rPr>
        <w:t>ą jedną substancję zaklasyfikowaną do jednej z klas zagrożenia i kodów kategorii zagrożenia oraz kodów zwrotów wskazujących rodzaj zagrożenia ujętych w tabeli 3, lub większą ich liczbę, odpady ocenia się, tam gdzie to właściwe i proporcjonalne, zgodnie z m</w:t>
      </w:r>
      <w:r>
        <w:rPr>
          <w:color w:val="000000"/>
        </w:rPr>
        <w:t>etodami badań. Jeżeli obecność substancji wskazuje, że odpady są łatwopalne, klasyfikuje się je jako odpady niebezpieczne, zgodnie z HP 3.</w:t>
      </w:r>
    </w:p>
    <w:p w:rsidR="00B1146D" w:rsidRDefault="00717A52">
      <w:pPr>
        <w:spacing w:before="25" w:after="0"/>
        <w:jc w:val="both"/>
      </w:pPr>
      <w:r>
        <w:rPr>
          <w:color w:val="000000"/>
        </w:rPr>
        <w:t>Tabela 3: Klasa zagrożenia i kod(-y) kategorii zagrożenia oraz kod(-y) zwrotów wskazujących rodzaj zagrożenia składni</w:t>
      </w:r>
      <w:r>
        <w:rPr>
          <w:color w:val="000000"/>
        </w:rPr>
        <w:t>ków odpadów do celów klasyfikacji odpadów jako niebezpieczne, zgodnie z HP 3:</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6119"/>
        <w:gridCol w:w="6246"/>
      </w:tblGrid>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Klasa zagrożenia i kod(-y) kategorii</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Kod(-y) zwrotów wskazujących rodzaj zagrożenia</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Flam. Gas 1</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H220</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Flam. Gas 2</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H221</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Aerosol 1</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H222</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Aerosol 2</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H223</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Flam. Liq. 1</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H224</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 xml:space="preserve">Flam. </w:t>
            </w:r>
            <w:r>
              <w:rPr>
                <w:color w:val="000000"/>
              </w:rPr>
              <w:t>Liq.2</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H225</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Flam. Liq. 3</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H226</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Flam. Sol. 1</w:t>
            </w:r>
          </w:p>
        </w:tc>
        <w:tc>
          <w:tcPr>
            <w:tcW w:w="6246"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H228</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Flam. Sol. 2</w:t>
            </w:r>
          </w:p>
        </w:tc>
        <w:tc>
          <w:tcPr>
            <w:tcW w:w="0" w:type="auto"/>
            <w:vMerge/>
            <w:tcBorders>
              <w:top w:val="nil"/>
              <w:bottom w:val="single" w:sz="8" w:space="0" w:color="000000"/>
            </w:tcBorders>
          </w:tcPr>
          <w:p w:rsidR="00B1146D" w:rsidRDefault="00B1146D"/>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Self-react. CD</w:t>
            </w:r>
          </w:p>
        </w:tc>
        <w:tc>
          <w:tcPr>
            <w:tcW w:w="0" w:type="auto"/>
            <w:vMerge/>
            <w:tcBorders>
              <w:top w:val="nil"/>
              <w:bottom w:val="single" w:sz="8" w:space="0" w:color="000000"/>
            </w:tcBorders>
          </w:tcPr>
          <w:p w:rsidR="00B1146D" w:rsidRDefault="00B1146D"/>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Self-react. EF</w:t>
            </w:r>
          </w:p>
        </w:tc>
        <w:tc>
          <w:tcPr>
            <w:tcW w:w="6246"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H242</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Org. Perox. CD</w:t>
            </w:r>
          </w:p>
        </w:tc>
        <w:tc>
          <w:tcPr>
            <w:tcW w:w="0" w:type="auto"/>
            <w:vMerge/>
            <w:tcBorders>
              <w:top w:val="nil"/>
              <w:bottom w:val="single" w:sz="8" w:space="0" w:color="000000"/>
            </w:tcBorders>
          </w:tcPr>
          <w:p w:rsidR="00B1146D" w:rsidRDefault="00B1146D"/>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Org. Perox. EF</w:t>
            </w:r>
          </w:p>
        </w:tc>
        <w:tc>
          <w:tcPr>
            <w:tcW w:w="0" w:type="auto"/>
            <w:vMerge/>
            <w:tcBorders>
              <w:top w:val="nil"/>
              <w:bottom w:val="single" w:sz="8" w:space="0" w:color="000000"/>
            </w:tcBorders>
          </w:tcPr>
          <w:p w:rsidR="00B1146D" w:rsidRDefault="00B1146D"/>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Pyr. Liq. 1</w:t>
            </w:r>
          </w:p>
        </w:tc>
        <w:tc>
          <w:tcPr>
            <w:tcW w:w="6246"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H250</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Pyr. Sol. 1</w:t>
            </w:r>
          </w:p>
        </w:tc>
        <w:tc>
          <w:tcPr>
            <w:tcW w:w="0" w:type="auto"/>
            <w:vMerge/>
            <w:tcBorders>
              <w:top w:val="nil"/>
              <w:bottom w:val="single" w:sz="8" w:space="0" w:color="000000"/>
            </w:tcBorders>
          </w:tcPr>
          <w:p w:rsidR="00B1146D" w:rsidRDefault="00B1146D"/>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Self-heat.1</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H251</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Self-heat. 2</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H252</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Water-react. 1</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H260</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Water-react. 2</w:t>
            </w:r>
          </w:p>
          <w:p w:rsidR="00B1146D" w:rsidRDefault="00717A52">
            <w:pPr>
              <w:spacing w:before="25" w:after="0"/>
              <w:jc w:val="center"/>
            </w:pPr>
            <w:r>
              <w:rPr>
                <w:color w:val="000000"/>
              </w:rPr>
              <w:t>Water-react. 3</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H261</w:t>
            </w:r>
          </w:p>
        </w:tc>
      </w:tr>
    </w:tbl>
    <w:p w:rsidR="00B1146D" w:rsidRDefault="00717A52">
      <w:pPr>
        <w:spacing w:before="25" w:after="0"/>
        <w:jc w:val="both"/>
      </w:pPr>
      <w:r>
        <w:rPr>
          <w:b/>
          <w:color w:val="000000"/>
        </w:rPr>
        <w:t>HP 4 "Drażniące - działanie drażniące na skórę i powodujące uszkodzenie oczu":</w:t>
      </w:r>
    </w:p>
    <w:p w:rsidR="00B1146D" w:rsidRDefault="00717A52">
      <w:pPr>
        <w:spacing w:before="25" w:after="0"/>
        <w:jc w:val="both"/>
      </w:pPr>
      <w:r>
        <w:rPr>
          <w:color w:val="000000"/>
        </w:rPr>
        <w:t xml:space="preserve"> odpady, które w wyniku naniesienia mogą powodować podrażnienie skóry lub uszkodzenie oka.</w:t>
      </w:r>
    </w:p>
    <w:p w:rsidR="00B1146D" w:rsidRDefault="00717A52">
      <w:pPr>
        <w:spacing w:before="25" w:after="0"/>
        <w:jc w:val="both"/>
      </w:pPr>
      <w:r>
        <w:rPr>
          <w:color w:val="000000"/>
        </w:rPr>
        <w:t>Jeśli odpady zawierają co najmniej jedną substancję w stężeniu powyżej wartości</w:t>
      </w:r>
      <w:r>
        <w:rPr>
          <w:color w:val="000000"/>
        </w:rPr>
        <w:t xml:space="preserve"> granicznej, zaklasyfikowaną do jednej z następujących klas zagrożenia i kodów kategorii zagrożenia oraz do kodów zwrotów wskazujących rodzaj zagrożenia, a jedno stężenie graniczne lub większa ich liczba zostało osiągnięte lub przekroczone, odpady klasyfik</w:t>
      </w:r>
      <w:r>
        <w:rPr>
          <w:color w:val="000000"/>
        </w:rPr>
        <w:t>uje się jako niebezpieczne zgodnie z HP 4.</w:t>
      </w:r>
    </w:p>
    <w:p w:rsidR="00B1146D" w:rsidRDefault="00717A52">
      <w:pPr>
        <w:spacing w:before="25" w:after="0"/>
        <w:jc w:val="both"/>
      </w:pPr>
      <w:r>
        <w:rPr>
          <w:color w:val="000000"/>
        </w:rPr>
        <w:t xml:space="preserve">Wartość graniczna, jaką należy uwzględniać przy ocenie substancji zaklasyfikowanych jako </w:t>
      </w:r>
      <w:r>
        <w:rPr>
          <w:i/>
          <w:color w:val="000000"/>
        </w:rPr>
        <w:t xml:space="preserve">Skin corr. </w:t>
      </w:r>
      <w:r>
        <w:rPr>
          <w:color w:val="000000"/>
        </w:rPr>
        <w:t xml:space="preserve">1A (H314), działania drażniącego na skórę 2 (H315), uszkodzenia oka 1 (H318) oraz działania drażniącego na oko 2 </w:t>
      </w:r>
      <w:r>
        <w:rPr>
          <w:color w:val="000000"/>
        </w:rPr>
        <w:t xml:space="preserve">(H319) wynosi 1 </w:t>
      </w:r>
      <w:r>
        <w:rPr>
          <w:i/>
          <w:color w:val="000000"/>
        </w:rPr>
        <w:t>%.</w:t>
      </w:r>
    </w:p>
    <w:p w:rsidR="00B1146D" w:rsidRDefault="00717A52">
      <w:pPr>
        <w:spacing w:before="25" w:after="0"/>
        <w:jc w:val="both"/>
      </w:pPr>
      <w:r>
        <w:rPr>
          <w:color w:val="000000"/>
        </w:rPr>
        <w:t xml:space="preserve">Jeżeli suma stężeń wszystkich substancji zaklasyfikowanych jako </w:t>
      </w:r>
      <w:r>
        <w:rPr>
          <w:i/>
          <w:color w:val="000000"/>
        </w:rPr>
        <w:t xml:space="preserve">Skin corr. </w:t>
      </w:r>
      <w:r>
        <w:rPr>
          <w:color w:val="000000"/>
        </w:rPr>
        <w:t xml:space="preserve">1A (H314) wynosi 1 </w:t>
      </w:r>
      <w:r>
        <w:rPr>
          <w:i/>
          <w:color w:val="000000"/>
        </w:rPr>
        <w:t xml:space="preserve">% </w:t>
      </w:r>
      <w:r>
        <w:rPr>
          <w:color w:val="000000"/>
        </w:rPr>
        <w:t>lub jest większa, odpady klasyfikuje się jako niebezpieczne zgodnie z HP 4.</w:t>
      </w:r>
    </w:p>
    <w:p w:rsidR="00B1146D" w:rsidRDefault="00717A52">
      <w:pPr>
        <w:spacing w:before="25" w:after="0"/>
        <w:jc w:val="both"/>
      </w:pPr>
      <w:r>
        <w:rPr>
          <w:color w:val="000000"/>
        </w:rPr>
        <w:t xml:space="preserve">Jeżeli suma stężeń wszystkich substancji zaklasyfikowanych jako </w:t>
      </w:r>
      <w:r>
        <w:rPr>
          <w:color w:val="000000"/>
        </w:rPr>
        <w:t>H318 wynosi 10 % lub jest większa, odpady klasyfikuje się jako niebezpieczne zgodnie z HP 4.</w:t>
      </w:r>
    </w:p>
    <w:p w:rsidR="00B1146D" w:rsidRDefault="00717A52">
      <w:pPr>
        <w:spacing w:before="25" w:after="0"/>
        <w:jc w:val="both"/>
      </w:pPr>
      <w:r>
        <w:rPr>
          <w:color w:val="000000"/>
        </w:rPr>
        <w:t xml:space="preserve">Jeżeli suma stężeń wszystkich substancji zaklasyfikowanych jako H315 oraz H319 wynosi 20 </w:t>
      </w:r>
      <w:r>
        <w:rPr>
          <w:i/>
          <w:color w:val="000000"/>
        </w:rPr>
        <w:t xml:space="preserve">% </w:t>
      </w:r>
      <w:r>
        <w:rPr>
          <w:color w:val="000000"/>
        </w:rPr>
        <w:t>lub jest większa, odpady klasyfikuje się jako niebezpieczne zgodnie z HP</w:t>
      </w:r>
      <w:r>
        <w:rPr>
          <w:color w:val="000000"/>
        </w:rPr>
        <w:t xml:space="preserve"> 4.</w:t>
      </w:r>
    </w:p>
    <w:p w:rsidR="00B1146D" w:rsidRDefault="00717A52">
      <w:pPr>
        <w:spacing w:before="25" w:after="0"/>
        <w:jc w:val="both"/>
      </w:pPr>
      <w:r>
        <w:rPr>
          <w:color w:val="000000"/>
        </w:rPr>
        <w:t xml:space="preserve">Należy zauważyć, że odpady zawierające substancje zaklasyfikowane jako H314 </w:t>
      </w:r>
      <w:r>
        <w:rPr>
          <w:i/>
          <w:color w:val="000000"/>
        </w:rPr>
        <w:t>(Skin corr</w:t>
      </w:r>
      <w:r>
        <w:rPr>
          <w:color w:val="000000"/>
        </w:rPr>
        <w:t xml:space="preserve">.1A, 1B lub 1C) w ilościach równych 5 </w:t>
      </w:r>
      <w:r>
        <w:rPr>
          <w:i/>
          <w:color w:val="000000"/>
        </w:rPr>
        <w:t xml:space="preserve">% </w:t>
      </w:r>
      <w:r>
        <w:rPr>
          <w:color w:val="000000"/>
        </w:rPr>
        <w:t>lub większych, klasyfikuje się jako odpady niebezpieczne zgodnie z HP 8. HP 4 nie ma zastosowania jeżeli odpady zaklasyfikowan</w:t>
      </w:r>
      <w:r>
        <w:rPr>
          <w:color w:val="000000"/>
        </w:rPr>
        <w:t>o jako HP 8.</w:t>
      </w:r>
    </w:p>
    <w:p w:rsidR="00B1146D" w:rsidRDefault="00717A52">
      <w:pPr>
        <w:spacing w:before="25" w:after="0"/>
        <w:jc w:val="both"/>
      </w:pPr>
      <w:r>
        <w:rPr>
          <w:b/>
          <w:color w:val="000000"/>
        </w:rPr>
        <w:t>HP 5 "Działanie toksyczne na narządy docelowe (STOT) lub zagrożenie</w:t>
      </w:r>
    </w:p>
    <w:p w:rsidR="00B1146D" w:rsidRDefault="00717A52">
      <w:pPr>
        <w:spacing w:before="25" w:after="0"/>
        <w:jc w:val="both"/>
      </w:pPr>
      <w:r>
        <w:rPr>
          <w:b/>
          <w:color w:val="000000"/>
        </w:rPr>
        <w:t xml:space="preserve">spowodowane aspiracją": </w:t>
      </w:r>
      <w:r>
        <w:rPr>
          <w:color w:val="000000"/>
        </w:rPr>
        <w:t>odpady, które mogą działać toksycznie na narządy docelowe na skutek jednokrotnego lub powtarzanego narażenia, lub które powodują ostre skutki toksyczne</w:t>
      </w:r>
      <w:r>
        <w:rPr>
          <w:color w:val="000000"/>
        </w:rPr>
        <w:t xml:space="preserve"> na skutek aspiracji.</w:t>
      </w:r>
    </w:p>
    <w:p w:rsidR="00B1146D" w:rsidRDefault="00717A52">
      <w:pPr>
        <w:spacing w:before="25" w:after="0"/>
        <w:jc w:val="both"/>
      </w:pPr>
      <w:r>
        <w:rPr>
          <w:color w:val="000000"/>
        </w:rPr>
        <w:t>Jeśli odpady zawierają co najmniej jedną substancję zaklasyfikowaną do jednej z następujących klas zagrożenia i kodów kategorii zagrożenia oraz do kodów zwrotów wskazujących rodzaj zagrożenia zawartych w tabeli 4, a jedno stężenie gra</w:t>
      </w:r>
      <w:r>
        <w:rPr>
          <w:color w:val="000000"/>
        </w:rPr>
        <w:t>niczne z tabeli 4 lub większa ich liczba zostało osiągnięte lub przekroczone, odpady klasyfikuje się jako niebezpieczne zgodnie z HP 5. Jeśli substancje zaklasyfikowane jako STOT są obecne w odpadach, pojedyncza substancja musi być obecna na poziomie lub p</w:t>
      </w:r>
      <w:r>
        <w:rPr>
          <w:color w:val="000000"/>
        </w:rPr>
        <w:t>owyżej stężenia granicznego ustalonego dla odpadów, aby zaklasyfikować odpady jako niebezpieczne zgodnie z HP 5.</w:t>
      </w:r>
    </w:p>
    <w:p w:rsidR="00B1146D" w:rsidRDefault="00717A52">
      <w:pPr>
        <w:spacing w:before="25" w:after="0"/>
        <w:jc w:val="both"/>
      </w:pPr>
      <w:r>
        <w:rPr>
          <w:color w:val="000000"/>
        </w:rPr>
        <w:t xml:space="preserve">Jeśli odpady zawierają jedną lub więcej substancji zaklasyfikowanych jako </w:t>
      </w:r>
      <w:r>
        <w:rPr>
          <w:i/>
          <w:color w:val="000000"/>
        </w:rPr>
        <w:t xml:space="preserve">Asp. Tox. </w:t>
      </w:r>
      <w:r>
        <w:rPr>
          <w:color w:val="000000"/>
        </w:rPr>
        <w:t>1 a suma tych substancji jest równa stężeniu granicznemu lu</w:t>
      </w:r>
      <w:r>
        <w:rPr>
          <w:color w:val="000000"/>
        </w:rPr>
        <w:t>b je przekracza, odpady klasyfikuje się jako niebezpieczne, zgodnie z HP 5 jedynie wówczas, gdy ogółem lepkość kinematyczna (przy 40 °C) nie przekracza 20,5 mm</w:t>
      </w:r>
      <w:r>
        <w:rPr>
          <w:color w:val="000000"/>
          <w:vertAlign w:val="superscript"/>
        </w:rPr>
        <w:t>2</w:t>
      </w:r>
      <w:r>
        <w:rPr>
          <w:color w:val="000000"/>
        </w:rPr>
        <w:t xml:space="preserve">/s. </w:t>
      </w:r>
      <w:r>
        <w:rPr>
          <w:color w:val="000000"/>
          <w:vertAlign w:val="superscript"/>
        </w:rPr>
        <w:t>30</w:t>
      </w:r>
      <w:r>
        <w:rPr>
          <w:color w:val="000000"/>
        </w:rPr>
        <w:t xml:space="preserve"> </w:t>
      </w:r>
    </w:p>
    <w:p w:rsidR="00B1146D" w:rsidRDefault="00717A52">
      <w:pPr>
        <w:spacing w:before="25" w:after="0"/>
        <w:jc w:val="both"/>
      </w:pPr>
      <w:r>
        <w:rPr>
          <w:color w:val="000000"/>
        </w:rPr>
        <w:t xml:space="preserve">Tabela 4: Klasa zagrożenia i kod(-y) kategorii zagrożenia oraz kod(-y) zwrotów </w:t>
      </w:r>
      <w:r>
        <w:rPr>
          <w:color w:val="000000"/>
        </w:rPr>
        <w:t>wskazujących rodzaj zagrożenia oraz odpowiadające im stężenia graniczne do celów klasyfikacji odpadów jako niebezpieczne zgodnie z HP 5:</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121"/>
        <w:gridCol w:w="4122"/>
        <w:gridCol w:w="4122"/>
      </w:tblGrid>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Klasa zagrożenia i kod(-y) kategorii</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Kod(-y) zwrotów wskazujących rodzaj zagrożenia</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Stężenie graniczne</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STOT SE 1</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H370</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STOT SE 2</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H371</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10 %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STOT SE 3</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H335</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20 %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STOT RE 1</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H372</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STOT RE 2</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H373</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10 %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Asp. Tox. 1</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H304</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10 %</w:t>
            </w:r>
          </w:p>
        </w:tc>
      </w:tr>
    </w:tbl>
    <w:p w:rsidR="00B1146D" w:rsidRDefault="00717A52">
      <w:pPr>
        <w:spacing w:before="25" w:after="0"/>
        <w:jc w:val="both"/>
      </w:pPr>
      <w:r>
        <w:rPr>
          <w:b/>
          <w:color w:val="000000"/>
        </w:rPr>
        <w:t xml:space="preserve">HP 6 "Ostra toksyczność": </w:t>
      </w:r>
      <w:r>
        <w:rPr>
          <w:color w:val="000000"/>
        </w:rPr>
        <w:t>odpady, które mogą spowodować ostrą toksyczność po podaniu drogą pokarmową lub po naniesieniu na skórę lub po narażeniu</w:t>
      </w:r>
      <w:r>
        <w:rPr>
          <w:color w:val="000000"/>
        </w:rPr>
        <w:t xml:space="preserve"> inhalacyjnym.</w:t>
      </w:r>
    </w:p>
    <w:p w:rsidR="00B1146D" w:rsidRDefault="00717A52">
      <w:pPr>
        <w:spacing w:before="25" w:after="0"/>
        <w:jc w:val="both"/>
      </w:pPr>
      <w:r>
        <w:rPr>
          <w:color w:val="000000"/>
        </w:rPr>
        <w:t>Jeżeli suma stężeń wszystkich substancji jakie zawierają odpady, zaklasyfikowanych za pomocą klasy zagrożenia ostrą toksycznością oraz kodem kategorii i kodem zwrotów wskazujących rodzaj zagrożenia wymienionych w tabeli 5, jest równa progowi</w:t>
      </w:r>
      <w:r>
        <w:rPr>
          <w:color w:val="000000"/>
        </w:rPr>
        <w:t xml:space="preserve"> podanemu w tej tabeli, lub go przekracza, wówczas odpady klasyfikuje się jako niebezpieczne zgodnie z HP 6. Jeśli w odpadach znajduje się więcej niż jedna substancja zaklasyfikowana jako ostro toksyczna, wówczas sumę stężeń określa się jedynie dla substan</w:t>
      </w:r>
      <w:r>
        <w:rPr>
          <w:color w:val="000000"/>
        </w:rPr>
        <w:t>cji tej samej kategorii zagrożenia.</w:t>
      </w:r>
    </w:p>
    <w:p w:rsidR="00B1146D" w:rsidRDefault="00717A52">
      <w:pPr>
        <w:spacing w:before="25" w:after="0"/>
        <w:jc w:val="both"/>
      </w:pPr>
      <w:r>
        <w:rPr>
          <w:color w:val="000000"/>
        </w:rPr>
        <w:t>Przy ocenie działania należy uwzględniać następujące wartości graniczne:</w:t>
      </w:r>
    </w:p>
    <w:p w:rsidR="00B1146D" w:rsidRDefault="00717A52">
      <w:pPr>
        <w:spacing w:after="0"/>
      </w:pPr>
      <w:r>
        <w:rPr>
          <w:color w:val="000000"/>
        </w:rPr>
        <w:t xml:space="preserve">- Dla </w:t>
      </w:r>
      <w:r>
        <w:rPr>
          <w:i/>
          <w:color w:val="000000"/>
        </w:rPr>
        <w:t>Acute Tox</w:t>
      </w:r>
      <w:r>
        <w:rPr>
          <w:color w:val="000000"/>
        </w:rPr>
        <w:t>. 1, 2 lub 3 (H300, H310, H330, H301, H311, H331): 0,1 %;</w:t>
      </w:r>
    </w:p>
    <w:p w:rsidR="00B1146D" w:rsidRDefault="00717A52">
      <w:pPr>
        <w:spacing w:after="0"/>
      </w:pPr>
      <w:r>
        <w:rPr>
          <w:color w:val="000000"/>
        </w:rPr>
        <w:t xml:space="preserve">- Dla </w:t>
      </w:r>
      <w:r>
        <w:rPr>
          <w:i/>
          <w:color w:val="000000"/>
        </w:rPr>
        <w:t>Acute Tox</w:t>
      </w:r>
      <w:r>
        <w:rPr>
          <w:color w:val="000000"/>
        </w:rPr>
        <w:t>. 4 (H302, H312, H332): 1 %.</w:t>
      </w:r>
    </w:p>
    <w:p w:rsidR="00B1146D" w:rsidRDefault="00717A52">
      <w:pPr>
        <w:spacing w:before="25" w:after="0"/>
        <w:jc w:val="both"/>
      </w:pPr>
      <w:r>
        <w:rPr>
          <w:color w:val="000000"/>
        </w:rPr>
        <w:t>Tabela 5: Klasa zagrożenia i k</w:t>
      </w:r>
      <w:r>
        <w:rPr>
          <w:color w:val="000000"/>
        </w:rPr>
        <w:t>od(-y) kategorii zagrożenia oraz kod(-y) zwrotów wskazujących rodzaj zagrożenia składników odpadów oraz odpowiadające im stężenia graniczne do celów klasyfikacji odpadów jako niebezpieczne zgodnie z HP 6:</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121"/>
        <w:gridCol w:w="4122"/>
        <w:gridCol w:w="4122"/>
      </w:tblGrid>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Klasa zagrożenia i kod(-y) kategorii</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Kod(-y) zwrotó</w:t>
            </w:r>
            <w:r>
              <w:rPr>
                <w:color w:val="000000"/>
              </w:rPr>
              <w:t>w wskazujących rodzaj zagrożenia</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Stężenie graniczne</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Tox.1 (Oral)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H300</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0,1 %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2 (Oral)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H300</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0,25 %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3 (Oral)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H301</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4 (Oral)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H302</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25 %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Tox.1 (Dermal)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H310</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0,25 %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Tox.2 (Dermal)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H310</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2,5 %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3</w:t>
            </w:r>
            <w:r>
              <w:rPr>
                <w:color w:val="000000"/>
              </w:rPr>
              <w:t xml:space="preserve"> (Dermal)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H311</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4 (Dermal)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H312</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55 %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1 (Inhal.)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H330</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0,1 %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Tox.2 (Inhal.)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H330</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3 (Inhal.)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H331</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3,5 %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Acute Tox. 4 (Inhal.)</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H332</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22,5 %</w:t>
            </w:r>
          </w:p>
        </w:tc>
      </w:tr>
    </w:tbl>
    <w:p w:rsidR="00B1146D" w:rsidRDefault="00717A52">
      <w:pPr>
        <w:spacing w:before="25" w:after="0"/>
        <w:jc w:val="both"/>
      </w:pPr>
      <w:r>
        <w:rPr>
          <w:b/>
          <w:color w:val="000000"/>
        </w:rPr>
        <w:t xml:space="preserve">HP 7 "Rakotwórcze": </w:t>
      </w:r>
      <w:r>
        <w:rPr>
          <w:color w:val="000000"/>
        </w:rPr>
        <w:t xml:space="preserve">odpady, które wywołują raka lub zwiększają </w:t>
      </w:r>
      <w:r>
        <w:rPr>
          <w:color w:val="000000"/>
        </w:rPr>
        <w:t>zachorowalność na niego.</w:t>
      </w:r>
    </w:p>
    <w:p w:rsidR="00B1146D" w:rsidRDefault="00717A52">
      <w:pPr>
        <w:spacing w:before="25" w:after="0"/>
        <w:jc w:val="both"/>
      </w:pPr>
      <w:r>
        <w:rPr>
          <w:color w:val="000000"/>
        </w:rPr>
        <w:t>Jeśli odpady zawierają substancję zaklasyfikowaną do jednej z następujących klas zagrożenia i kodów kategorii zagrożenia oraz do kodów zwrotów wskazujących rodzaj zagrożenia, a jedno ze stężeń granicznych wymienionych w tabeli 6 zo</w:t>
      </w:r>
      <w:r>
        <w:rPr>
          <w:color w:val="000000"/>
        </w:rPr>
        <w:t>stało osiągnięte lub przekroczone, odpady klasyfikuje się jako niebezpieczne, zgodnie z HP 7. Jeśli w odpadach zawarta jest więcej niż jedna substancja zaklasyfikowana jako rakotwórcza, pojedyncza substancja musi być obecna na poziomie stężenia granicznego</w:t>
      </w:r>
      <w:r>
        <w:rPr>
          <w:color w:val="000000"/>
        </w:rPr>
        <w:t xml:space="preserve"> ustalonego dla odpadów lub powyżej tego poziomu, aby zaklasyfikować odpady jako niebezpieczne zgodnie z HP 7.</w:t>
      </w:r>
    </w:p>
    <w:p w:rsidR="00B1146D" w:rsidRDefault="00717A52">
      <w:pPr>
        <w:spacing w:before="25" w:after="0"/>
        <w:jc w:val="both"/>
      </w:pPr>
      <w:r>
        <w:rPr>
          <w:color w:val="000000"/>
        </w:rPr>
        <w:t>Tabela 6: Klasa zagrożenia i kod(-y) kategorii zagrożenia oraz kod(-y) zwrotów wskazujących rodzaj zagrożenia składników odpadów oraz odpowiadają</w:t>
      </w:r>
      <w:r>
        <w:rPr>
          <w:color w:val="000000"/>
        </w:rPr>
        <w:t>ce im stężenia graniczne do celów klasyfikacji odpadów jako niebezpieczne zgodnie z HP 7:</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121"/>
        <w:gridCol w:w="4122"/>
        <w:gridCol w:w="4122"/>
      </w:tblGrid>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Klasa zagrożenia i kod(-y) kategorii</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Kod(-y) zwrotów wskazujących rodzaj zagrożenia</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Stężenie graniczne</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Carc. 1A</w:t>
            </w:r>
          </w:p>
        </w:tc>
        <w:tc>
          <w:tcPr>
            <w:tcW w:w="4122" w:type="dxa"/>
            <w:vMerge w:val="restart"/>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H350</w:t>
            </w:r>
          </w:p>
        </w:tc>
        <w:tc>
          <w:tcPr>
            <w:tcW w:w="4122"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0,1 %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Carc. 1B</w:t>
            </w:r>
          </w:p>
        </w:tc>
        <w:tc>
          <w:tcPr>
            <w:tcW w:w="0" w:type="auto"/>
            <w:vMerge/>
            <w:tcBorders>
              <w:top w:val="nil"/>
              <w:bottom w:val="single" w:sz="8" w:space="0" w:color="000000"/>
              <w:right w:val="single" w:sz="8" w:space="0" w:color="000000"/>
            </w:tcBorders>
          </w:tcPr>
          <w:p w:rsidR="00B1146D" w:rsidRDefault="00B1146D"/>
        </w:tc>
        <w:tc>
          <w:tcPr>
            <w:tcW w:w="0" w:type="auto"/>
            <w:vMerge/>
            <w:tcBorders>
              <w:top w:val="nil"/>
              <w:bottom w:val="single" w:sz="8" w:space="0" w:color="000000"/>
            </w:tcBorders>
          </w:tcPr>
          <w:p w:rsidR="00B1146D" w:rsidRDefault="00B1146D"/>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Carc. 2</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H351</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1,0 %</w:t>
            </w:r>
          </w:p>
        </w:tc>
      </w:tr>
    </w:tbl>
    <w:p w:rsidR="00B1146D" w:rsidRDefault="00717A52">
      <w:pPr>
        <w:spacing w:before="25" w:after="0"/>
        <w:jc w:val="both"/>
      </w:pPr>
      <w:r>
        <w:rPr>
          <w:b/>
          <w:color w:val="000000"/>
        </w:rPr>
        <w:t xml:space="preserve">HP 8 "Żrące": </w:t>
      </w:r>
      <w:r>
        <w:rPr>
          <w:color w:val="000000"/>
        </w:rPr>
        <w:t>odpady, które w wyniku naniesienia działają żrąco na skórę.</w:t>
      </w:r>
    </w:p>
    <w:p w:rsidR="00B1146D" w:rsidRDefault="00717A52">
      <w:pPr>
        <w:spacing w:before="25" w:after="0"/>
        <w:jc w:val="both"/>
      </w:pPr>
      <w:r>
        <w:rPr>
          <w:color w:val="000000"/>
        </w:rPr>
        <w:t xml:space="preserve">Jeżeli odpady zawierają jedną lub więcej substancji zaklasyfikowanych jako </w:t>
      </w:r>
      <w:r>
        <w:rPr>
          <w:i/>
          <w:color w:val="000000"/>
        </w:rPr>
        <w:t>Skin corr</w:t>
      </w:r>
      <w:r>
        <w:rPr>
          <w:color w:val="000000"/>
        </w:rPr>
        <w:t>.1A, 1B lub 1C (H314) a suma ich stężeń wynosi 5 % lub więcej, odpady klasyfikuje się jako niebezp</w:t>
      </w:r>
      <w:r>
        <w:rPr>
          <w:color w:val="000000"/>
        </w:rPr>
        <w:t>ieczne, zgodnie z HP 8.</w:t>
      </w:r>
    </w:p>
    <w:p w:rsidR="00B1146D" w:rsidRDefault="00717A52">
      <w:pPr>
        <w:spacing w:before="25" w:after="0"/>
        <w:jc w:val="both"/>
      </w:pPr>
      <w:r>
        <w:rPr>
          <w:color w:val="000000"/>
        </w:rPr>
        <w:t xml:space="preserve">Wartość graniczna, jaką należy uwzględniać przy ocenie działania żrącego na skórę </w:t>
      </w:r>
      <w:r>
        <w:rPr>
          <w:i/>
          <w:color w:val="000000"/>
        </w:rPr>
        <w:t>Skin corr</w:t>
      </w:r>
      <w:r>
        <w:rPr>
          <w:color w:val="000000"/>
        </w:rPr>
        <w:t>. 1A, 1B, 1C (H314) wynosi 1,0 %.</w:t>
      </w:r>
    </w:p>
    <w:p w:rsidR="00B1146D" w:rsidRDefault="00717A52">
      <w:pPr>
        <w:spacing w:before="25" w:after="0"/>
        <w:jc w:val="both"/>
      </w:pPr>
      <w:r>
        <w:rPr>
          <w:b/>
          <w:color w:val="000000"/>
        </w:rPr>
        <w:t xml:space="preserve">HP 9 "Zakaźne": </w:t>
      </w:r>
      <w:r>
        <w:rPr>
          <w:color w:val="000000"/>
        </w:rPr>
        <w:t xml:space="preserve">odpady zawierające żywe drobnoustroje lub ich toksyny, o których wiadomo lub co do których </w:t>
      </w:r>
      <w:r>
        <w:rPr>
          <w:color w:val="000000"/>
        </w:rPr>
        <w:t>istnieją wiarygodne podstawy do przyjęcia, że wywołują choroby u ludzi lub innych żywych organizmów.</w:t>
      </w:r>
    </w:p>
    <w:p w:rsidR="00B1146D" w:rsidRDefault="00717A52">
      <w:pPr>
        <w:spacing w:before="25" w:after="0"/>
        <w:jc w:val="both"/>
      </w:pPr>
      <w:r>
        <w:rPr>
          <w:color w:val="000000"/>
        </w:rPr>
        <w:t>Przypisanie klasy HP 9 ocenia się na podstawie odpowiednich przepisów lub dokumentów referencyjnych w państwach członkowskich.</w:t>
      </w:r>
    </w:p>
    <w:p w:rsidR="00B1146D" w:rsidRDefault="00717A52">
      <w:pPr>
        <w:spacing w:before="25" w:after="0"/>
        <w:jc w:val="both"/>
      </w:pPr>
      <w:r>
        <w:rPr>
          <w:b/>
          <w:color w:val="000000"/>
        </w:rPr>
        <w:t>HP 10 "Działające szkodliwie</w:t>
      </w:r>
      <w:r>
        <w:rPr>
          <w:b/>
          <w:color w:val="000000"/>
        </w:rPr>
        <w:t xml:space="preserve"> na rozrodczość": </w:t>
      </w:r>
      <w:r>
        <w:rPr>
          <w:color w:val="000000"/>
        </w:rPr>
        <w:t>odpady działające szkodliwie na funkcje rozrodcze i płodność u dorosłych osobników płci męskiej i żeńskiej oraz powodujące toksyczność rozwojową u potomstwa.</w:t>
      </w:r>
    </w:p>
    <w:p w:rsidR="00B1146D" w:rsidRDefault="00717A52">
      <w:pPr>
        <w:spacing w:before="25" w:after="0"/>
        <w:jc w:val="both"/>
      </w:pPr>
      <w:r>
        <w:rPr>
          <w:color w:val="000000"/>
        </w:rPr>
        <w:t>Jeśli odpady zawierają substancję zaklasyfikowaną do jednej z następujących klas</w:t>
      </w:r>
      <w:r>
        <w:rPr>
          <w:color w:val="000000"/>
        </w:rPr>
        <w:t xml:space="preserve"> zagrożenia i kodów kategorii zagrożenia oraz do kodów zwrotów wskazujących rodzaj zagrożenia, a jedno ze stężeń granicznych wymienionych w tabeli 7 zostało osiągnięte lub przekroczone, odpady klasyfikuje się jako niebezpieczne zgodnie z HP 10. Jeśli w odp</w:t>
      </w:r>
      <w:r>
        <w:rPr>
          <w:color w:val="000000"/>
        </w:rPr>
        <w:t>adach obecnych jest więcej niż jedna substancja zaklasyfikowana jako działająca szkodliwie na rozrodczość, pojedyncza substancja musi być obecna na poziomie stężenia granicznego ustalonego dla odpadów lub powyżej tego poziomu, aby zaklasyfikować odpady jak</w:t>
      </w:r>
      <w:r>
        <w:rPr>
          <w:color w:val="000000"/>
        </w:rPr>
        <w:t>o niebezpieczne zgodnie z HP 10.</w:t>
      </w:r>
    </w:p>
    <w:p w:rsidR="00B1146D" w:rsidRDefault="00717A52">
      <w:pPr>
        <w:spacing w:before="25" w:after="0"/>
        <w:jc w:val="both"/>
      </w:pPr>
      <w:r>
        <w:rPr>
          <w:color w:val="000000"/>
        </w:rPr>
        <w:t>Tabela 7: Klasa zagrożenia i kod(-y) kategorii zagrożenia oraz kod(-y) zwrotów wskazujących rodzaj zagrożenia składników odpadów oraz odpowiadające im stężenia graniczne do celów klasyfikacji odpadów jako niebezpieczne, zgo</w:t>
      </w:r>
      <w:r>
        <w:rPr>
          <w:color w:val="000000"/>
        </w:rPr>
        <w:t>dnie z HP 10:</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121"/>
        <w:gridCol w:w="4122"/>
        <w:gridCol w:w="4122"/>
      </w:tblGrid>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Klasa zagrożenia i kod(-y) kategorii</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Kod(-y) zwrotów wskazujących rodzaj zagrożenia</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Stężenie graniczne</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Repr. 1A</w:t>
            </w:r>
          </w:p>
        </w:tc>
        <w:tc>
          <w:tcPr>
            <w:tcW w:w="4122" w:type="dxa"/>
            <w:vMerge w:val="restart"/>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H360</w:t>
            </w:r>
          </w:p>
        </w:tc>
        <w:tc>
          <w:tcPr>
            <w:tcW w:w="4122"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0,3 %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Repr. 1B</w:t>
            </w:r>
          </w:p>
        </w:tc>
        <w:tc>
          <w:tcPr>
            <w:tcW w:w="0" w:type="auto"/>
            <w:vMerge/>
            <w:tcBorders>
              <w:top w:val="nil"/>
              <w:bottom w:val="single" w:sz="8" w:space="0" w:color="000000"/>
              <w:right w:val="single" w:sz="8" w:space="0" w:color="000000"/>
            </w:tcBorders>
          </w:tcPr>
          <w:p w:rsidR="00B1146D" w:rsidRDefault="00B1146D"/>
        </w:tc>
        <w:tc>
          <w:tcPr>
            <w:tcW w:w="0" w:type="auto"/>
            <w:vMerge/>
            <w:tcBorders>
              <w:top w:val="nil"/>
              <w:bottom w:val="single" w:sz="8" w:space="0" w:color="000000"/>
            </w:tcBorders>
          </w:tcPr>
          <w:p w:rsidR="00B1146D" w:rsidRDefault="00B1146D"/>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Repr. 2</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H361</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3,0 %</w:t>
            </w:r>
          </w:p>
        </w:tc>
      </w:tr>
    </w:tbl>
    <w:p w:rsidR="00B1146D" w:rsidRDefault="00717A52">
      <w:pPr>
        <w:spacing w:before="25" w:after="0"/>
        <w:jc w:val="both"/>
      </w:pPr>
      <w:r>
        <w:rPr>
          <w:b/>
          <w:color w:val="000000"/>
        </w:rPr>
        <w:t xml:space="preserve">HP 11 "Mutagenne": </w:t>
      </w:r>
      <w:r>
        <w:rPr>
          <w:color w:val="000000"/>
        </w:rPr>
        <w:t xml:space="preserve">odpady, które mogą spowodować mutację, tj. trwałą zmianę w ilości </w:t>
      </w:r>
      <w:r>
        <w:rPr>
          <w:color w:val="000000"/>
        </w:rPr>
        <w:t>lub strukturze materiału genetycznego w komórce.</w:t>
      </w:r>
    </w:p>
    <w:p w:rsidR="00B1146D" w:rsidRDefault="00717A52">
      <w:pPr>
        <w:spacing w:before="25" w:after="0"/>
        <w:jc w:val="both"/>
      </w:pPr>
      <w:r>
        <w:rPr>
          <w:color w:val="000000"/>
        </w:rPr>
        <w:t>Jeśli odpady zawierają substancję zaklasyfikowaną do jednej z następujących klas zagrożenia i kodów kategorii zagrożenia oraz do kodów zwrotów wskazujących rodzaj zagrożenia, a jedno ze stężeń granicznych wy</w:t>
      </w:r>
      <w:r>
        <w:rPr>
          <w:color w:val="000000"/>
        </w:rPr>
        <w:t>mienionych w tabeli 8 zostało osiągnięte lub przekroczone, odpady klasyfikuje się jako niebezpieczne, zgodnie z HP 11. Jeśli w odpadach obecnych jest więcej niż jedna substancja zaklasyfikowana jako mutagenna, pojedyncza substancja musi być obecna na pozio</w:t>
      </w:r>
      <w:r>
        <w:rPr>
          <w:color w:val="000000"/>
        </w:rPr>
        <w:t>mie stężenia granicznego ustalonego dla odpadów lub powyżej tego poziomu, aby zaklasyfikować odpady jako niebezpieczne, zgodnie z HP 11.</w:t>
      </w:r>
    </w:p>
    <w:p w:rsidR="00B1146D" w:rsidRDefault="00717A52">
      <w:pPr>
        <w:spacing w:before="25" w:after="0"/>
        <w:jc w:val="both"/>
      </w:pPr>
      <w:r>
        <w:rPr>
          <w:color w:val="000000"/>
        </w:rPr>
        <w:t>Tabela 8: Klasa zagrożenia i kod(-y) kategorii zagrożenia oraz kod(-y) zwrotów wskazujących rodzaj zagrożenia składnikó</w:t>
      </w:r>
      <w:r>
        <w:rPr>
          <w:color w:val="000000"/>
        </w:rPr>
        <w:t>w odpadów oraz odpowiadające im stężenia graniczne do celów klasyfikacji odpadów jako niebezpieczne, zgodnie z HP 11:</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4121"/>
        <w:gridCol w:w="4122"/>
        <w:gridCol w:w="4122"/>
      </w:tblGrid>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Klasa zagrożenia i kod(-y) kategorii</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Kod(-y) zwrotów wskazujących rodzaj zagrożenia</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Stężenie graniczne</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Muta. 1A,</w:t>
            </w:r>
          </w:p>
        </w:tc>
        <w:tc>
          <w:tcPr>
            <w:tcW w:w="4122" w:type="dxa"/>
            <w:vMerge w:val="restart"/>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H340</w:t>
            </w:r>
          </w:p>
        </w:tc>
        <w:tc>
          <w:tcPr>
            <w:tcW w:w="4122" w:type="dxa"/>
            <w:vMerge w:val="restart"/>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0,1 %</w:t>
            </w:r>
          </w:p>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Muta. 1B</w:t>
            </w:r>
          </w:p>
        </w:tc>
        <w:tc>
          <w:tcPr>
            <w:tcW w:w="0" w:type="auto"/>
            <w:vMerge/>
            <w:tcBorders>
              <w:top w:val="nil"/>
              <w:bottom w:val="single" w:sz="8" w:space="0" w:color="000000"/>
              <w:right w:val="single" w:sz="8" w:space="0" w:color="000000"/>
            </w:tcBorders>
          </w:tcPr>
          <w:p w:rsidR="00B1146D" w:rsidRDefault="00B1146D"/>
        </w:tc>
        <w:tc>
          <w:tcPr>
            <w:tcW w:w="0" w:type="auto"/>
            <w:vMerge/>
            <w:tcBorders>
              <w:top w:val="nil"/>
              <w:bottom w:val="single" w:sz="8" w:space="0" w:color="000000"/>
            </w:tcBorders>
          </w:tcPr>
          <w:p w:rsidR="00B1146D" w:rsidRDefault="00B1146D"/>
        </w:tc>
      </w:tr>
      <w:tr w:rsidR="00B1146D">
        <w:trPr>
          <w:trHeight w:val="45"/>
          <w:tblCellSpacing w:w="0" w:type="auto"/>
        </w:trPr>
        <w:tc>
          <w:tcPr>
            <w:tcW w:w="4121"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Muta. 2</w:t>
            </w:r>
          </w:p>
        </w:tc>
        <w:tc>
          <w:tcPr>
            <w:tcW w:w="4122"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H341</w:t>
            </w:r>
          </w:p>
        </w:tc>
        <w:tc>
          <w:tcPr>
            <w:tcW w:w="4122"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1,0 %</w:t>
            </w:r>
          </w:p>
        </w:tc>
      </w:tr>
    </w:tbl>
    <w:p w:rsidR="00B1146D" w:rsidRDefault="00717A52">
      <w:pPr>
        <w:spacing w:before="25" w:after="0"/>
        <w:jc w:val="both"/>
      </w:pPr>
      <w:r>
        <w:rPr>
          <w:b/>
          <w:color w:val="000000"/>
        </w:rPr>
        <w:t xml:space="preserve">HP 12 "Uwolnienie gazów o ostrej toksyczności": </w:t>
      </w:r>
      <w:r>
        <w:rPr>
          <w:color w:val="000000"/>
        </w:rPr>
        <w:t>odpady, które uwalniają gazy o ostrej toksyczności (</w:t>
      </w:r>
      <w:r>
        <w:rPr>
          <w:i/>
          <w:color w:val="000000"/>
        </w:rPr>
        <w:t>Acute Tox</w:t>
      </w:r>
      <w:r>
        <w:rPr>
          <w:color w:val="000000"/>
        </w:rPr>
        <w:t>. 1, 2 lub 3) w zetknięciu z wodą lub kwasem.</w:t>
      </w:r>
    </w:p>
    <w:p w:rsidR="00B1146D" w:rsidRDefault="00717A52">
      <w:pPr>
        <w:spacing w:before="25" w:after="0"/>
        <w:jc w:val="both"/>
      </w:pPr>
      <w:r>
        <w:rPr>
          <w:color w:val="000000"/>
        </w:rPr>
        <w:t xml:space="preserve">Jeżeli odpady zawierają substancję objętą kodem jednego z dodatkowych zagrożeń </w:t>
      </w:r>
      <w:r>
        <w:rPr>
          <w:color w:val="000000"/>
        </w:rPr>
        <w:t>EUH029, EUH031 lub EUH032, klasyfikuje się je jako niebezpieczne zgodnie z HP 12 na podstawie metod badań lub wytycznych.</w:t>
      </w:r>
    </w:p>
    <w:p w:rsidR="00B1146D" w:rsidRDefault="00717A52">
      <w:pPr>
        <w:spacing w:before="25" w:after="0"/>
        <w:jc w:val="both"/>
      </w:pPr>
      <w:r>
        <w:rPr>
          <w:b/>
          <w:color w:val="000000"/>
        </w:rPr>
        <w:t xml:space="preserve">HP 13 "Uczulające": </w:t>
      </w:r>
      <w:r>
        <w:rPr>
          <w:color w:val="000000"/>
        </w:rPr>
        <w:t>odpady zawierające jedną lub więcej substancji, o których wiadomo, że działają uczulająco na skórę lub na układ od</w:t>
      </w:r>
      <w:r>
        <w:rPr>
          <w:color w:val="000000"/>
        </w:rPr>
        <w:t>dechowy.</w:t>
      </w:r>
    </w:p>
    <w:p w:rsidR="00B1146D" w:rsidRDefault="00717A52">
      <w:pPr>
        <w:spacing w:before="25" w:after="0"/>
        <w:jc w:val="both"/>
      </w:pPr>
      <w:r>
        <w:rPr>
          <w:color w:val="000000"/>
        </w:rPr>
        <w:t xml:space="preserve">Jeśli odpady zawierają substancję zaklasyfikowaną jako uczulająca oraz objętą jednym z kodów zwrotów wskazujących rodzaj zagrożenia H317 lub H334, a stężenie pojedynczej substancji jest równe stężeniu granicznemu 10 % lub je przewyższa, odpady </w:t>
      </w:r>
      <w:r>
        <w:rPr>
          <w:color w:val="000000"/>
        </w:rPr>
        <w:t>klasyfikuje się jako niebezpieczne, zgodnie z HP 13.</w:t>
      </w:r>
    </w:p>
    <w:p w:rsidR="00B1146D" w:rsidRDefault="00717A52">
      <w:pPr>
        <w:spacing w:before="25" w:after="0"/>
        <w:jc w:val="both"/>
      </w:pPr>
      <w:r>
        <w:rPr>
          <w:b/>
          <w:color w:val="000000"/>
        </w:rPr>
        <w:t xml:space="preserve">HP 14 "Ekotoksyczne": </w:t>
      </w:r>
      <w:r>
        <w:rPr>
          <w:color w:val="000000"/>
        </w:rPr>
        <w:t>odpady, które stanowią lub mogą stanowić bezpośrednie lub opóźnione zagrożenie dla co najmniej jednego elementu środowiska.</w:t>
      </w:r>
    </w:p>
    <w:p w:rsidR="00B1146D" w:rsidRDefault="00717A52">
      <w:pPr>
        <w:spacing w:before="25" w:after="0"/>
        <w:jc w:val="both"/>
      </w:pPr>
      <w:r>
        <w:rPr>
          <w:b/>
          <w:color w:val="000000"/>
        </w:rPr>
        <w:t xml:space="preserve">HP 15 "Odpady mogące wykazywać niebezpieczne właściwości </w:t>
      </w:r>
      <w:r>
        <w:rPr>
          <w:b/>
          <w:color w:val="000000"/>
        </w:rPr>
        <w:t>wymienione powyżej, które nie były bezpośrednio widoczne w odpadach pierwotnych".</w:t>
      </w:r>
    </w:p>
    <w:p w:rsidR="00B1146D" w:rsidRDefault="00717A52">
      <w:pPr>
        <w:spacing w:before="25" w:after="0"/>
        <w:jc w:val="both"/>
      </w:pPr>
      <w:r>
        <w:rPr>
          <w:color w:val="000000"/>
        </w:rPr>
        <w:t>Jeśli odpady zawierają jedną lub więcej substancji objętych kodami zwrotów wskazujących rodzaj zagrożenia lub dodatkowych zagrożeń wymienionych w tabeli 9, odpady klasyfikuje</w:t>
      </w:r>
      <w:r>
        <w:rPr>
          <w:color w:val="000000"/>
        </w:rPr>
        <w:t xml:space="preserve"> się jako niebezpieczne, zgodnie z HP 15, chyba że odpady te występują w takiej postaci, w której w żadnym wypadku nie wykażą właściwości wybuchowych lub potencjalnie wybuchowych.</w:t>
      </w:r>
    </w:p>
    <w:p w:rsidR="00B1146D" w:rsidRDefault="00717A52">
      <w:pPr>
        <w:spacing w:before="25" w:after="0"/>
        <w:jc w:val="both"/>
      </w:pPr>
      <w:r>
        <w:rPr>
          <w:color w:val="000000"/>
        </w:rPr>
        <w:t>Tabela 9: Zwroty wskazujące rodzaj zagrożenia i dodatkowe zagrożenia składni</w:t>
      </w:r>
      <w:r>
        <w:rPr>
          <w:color w:val="000000"/>
        </w:rPr>
        <w:t>ków odpadów do celów klasyfikacji odpadów jako niebezpieczne, zgodnie z HP 15:</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6119"/>
        <w:gridCol w:w="6246"/>
      </w:tblGrid>
      <w:tr w:rsidR="00B1146D">
        <w:trPr>
          <w:trHeight w:val="45"/>
          <w:tblCellSpacing w:w="0" w:type="auto"/>
        </w:trPr>
        <w:tc>
          <w:tcPr>
            <w:tcW w:w="0" w:type="auto"/>
            <w:gridSpan w:val="2"/>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Zwrot(-y) wskazujący(-e) rodzaj zagrożenia/Dodatkowe zagrożenie(-a)</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Może masowo wybuchać w ogniu</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H205</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Produkt wybuchowy w stanie suchym</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EUH001</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 xml:space="preserve">Może tworzyć wybuchowe </w:t>
            </w:r>
            <w:r>
              <w:rPr>
                <w:color w:val="000000"/>
              </w:rPr>
              <w:t>nadtlenki.</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EUH019</w:t>
            </w:r>
          </w:p>
        </w:tc>
      </w:tr>
      <w:tr w:rsidR="00B1146D">
        <w:trPr>
          <w:trHeight w:val="45"/>
          <w:tblCellSpacing w:w="0" w:type="auto"/>
        </w:trPr>
        <w:tc>
          <w:tcPr>
            <w:tcW w:w="6119"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Zagrożenie wybuchem po ogrzaniu w zamkniętym pojemniku</w:t>
            </w:r>
          </w:p>
        </w:tc>
        <w:tc>
          <w:tcPr>
            <w:tcW w:w="6246"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EUH044</w:t>
            </w:r>
          </w:p>
        </w:tc>
      </w:tr>
    </w:tbl>
    <w:p w:rsidR="00B1146D" w:rsidRDefault="00717A52">
      <w:pPr>
        <w:spacing w:before="25" w:after="0"/>
        <w:jc w:val="both"/>
      </w:pPr>
      <w:r>
        <w:rPr>
          <w:color w:val="000000"/>
        </w:rPr>
        <w:t>Ponadto państwa członkowskie mogą określać odpady jako niebezpieczne, zgodnie z HP 15 na podstawie innych mających zastosowanie kryteriów, jak np. ocena odcieków.</w:t>
      </w:r>
    </w:p>
    <w:p w:rsidR="00B1146D" w:rsidRDefault="00717A52">
      <w:pPr>
        <w:spacing w:before="25" w:after="0"/>
        <w:jc w:val="both"/>
      </w:pPr>
      <w:r>
        <w:rPr>
          <w:i/>
          <w:color w:val="000000"/>
        </w:rPr>
        <w:t>Uwaga:</w:t>
      </w:r>
    </w:p>
    <w:p w:rsidR="00B1146D" w:rsidRDefault="00717A52">
      <w:pPr>
        <w:spacing w:before="25" w:after="0"/>
        <w:jc w:val="both"/>
      </w:pPr>
      <w:r>
        <w:rPr>
          <w:color w:val="000000"/>
        </w:rPr>
        <w:t xml:space="preserve">Przypisania niebezpiecznej właściwości HP 14 dokonuje się na podstawie kryteriów określonych w </w:t>
      </w:r>
      <w:r>
        <w:rPr>
          <w:color w:val="1B1B1B"/>
        </w:rPr>
        <w:t>załączniku VI</w:t>
      </w:r>
      <w:r>
        <w:rPr>
          <w:color w:val="000000"/>
        </w:rPr>
        <w:t xml:space="preserve"> do dyrektywy Rady 67/548/EWG.</w:t>
      </w:r>
    </w:p>
    <w:p w:rsidR="00B1146D" w:rsidRDefault="00717A52">
      <w:pPr>
        <w:spacing w:before="25" w:after="0"/>
        <w:jc w:val="both"/>
      </w:pPr>
      <w:r>
        <w:rPr>
          <w:i/>
          <w:color w:val="000000"/>
        </w:rPr>
        <w:t>Metody badania</w:t>
      </w:r>
    </w:p>
    <w:p w:rsidR="00B1146D" w:rsidRDefault="00717A52">
      <w:pPr>
        <w:spacing w:before="25" w:after="0"/>
        <w:jc w:val="both"/>
      </w:pPr>
      <w:r>
        <w:rPr>
          <w:color w:val="000000"/>
        </w:rPr>
        <w:t xml:space="preserve">Należy zastosować metody opisane w rozporządzeniu Komisji (WE) nr 440/2008 </w:t>
      </w:r>
      <w:r>
        <w:rPr>
          <w:color w:val="000000"/>
          <w:vertAlign w:val="superscript"/>
        </w:rPr>
        <w:t>31</w:t>
      </w:r>
      <w:r>
        <w:rPr>
          <w:color w:val="000000"/>
        </w:rPr>
        <w:t xml:space="preserve">  i w innych odnośnych no</w:t>
      </w:r>
      <w:r>
        <w:rPr>
          <w:color w:val="000000"/>
        </w:rPr>
        <w:t>tach CEN lub inne międzynarodowo uznane metody badań i wytyczne.</w:t>
      </w:r>
    </w:p>
    <w:p w:rsidR="00B1146D" w:rsidRDefault="00B1146D">
      <w:pPr>
        <w:spacing w:after="0"/>
      </w:pPr>
    </w:p>
    <w:p w:rsidR="00B1146D" w:rsidRDefault="00717A52">
      <w:pPr>
        <w:spacing w:before="80" w:after="0"/>
        <w:jc w:val="center"/>
      </w:pPr>
      <w:r>
        <w:rPr>
          <w:b/>
          <w:color w:val="000000"/>
        </w:rPr>
        <w:t xml:space="preserve">ZAŁĄCZNIK  IV </w:t>
      </w:r>
    </w:p>
    <w:p w:rsidR="00B1146D" w:rsidRDefault="00717A52">
      <w:pPr>
        <w:spacing w:before="25" w:after="0"/>
        <w:jc w:val="center"/>
      </w:pPr>
      <w:r>
        <w:rPr>
          <w:b/>
          <w:color w:val="000000"/>
        </w:rPr>
        <w:t>PRZYKŁADY ŚRODKÓW SŁUŻĄCYCH ZAPOBIEGANIU POWSTAWANIU ODPADÓW, O KTÓRYCH MOWA W ART. 29</w:t>
      </w:r>
    </w:p>
    <w:p w:rsidR="00B1146D" w:rsidRDefault="00717A52">
      <w:pPr>
        <w:spacing w:after="0"/>
      </w:pPr>
      <w:r>
        <w:rPr>
          <w:b/>
          <w:color w:val="000000"/>
        </w:rPr>
        <w:t>Środki, które mogą mieć wpływ na warunki ramowe związane z wytwarzaniem odpadów</w:t>
      </w:r>
    </w:p>
    <w:p w:rsidR="00B1146D" w:rsidRDefault="00717A52">
      <w:pPr>
        <w:spacing w:before="26" w:after="0"/>
        <w:ind w:left="373"/>
      </w:pPr>
      <w:r>
        <w:rPr>
          <w:color w:val="000000"/>
        </w:rPr>
        <w:t xml:space="preserve">1. </w:t>
      </w:r>
      <w:r>
        <w:rPr>
          <w:color w:val="000000"/>
        </w:rPr>
        <w:t>Wykorzystanie środków planowania lub innych instrumentów ekonomicznych wspierających efektywne wykorzystanie zasobów.</w:t>
      </w:r>
    </w:p>
    <w:p w:rsidR="00B1146D" w:rsidRDefault="00717A52">
      <w:pPr>
        <w:spacing w:before="26" w:after="0"/>
        <w:ind w:left="373"/>
      </w:pPr>
      <w:r>
        <w:rPr>
          <w:color w:val="000000"/>
        </w:rPr>
        <w:t>2. Promocja badań i rozwoju w obszarze pozyskiwania czystszych i bardziej oszczędnych produktów i technologii oraz upowszechnianie i wykor</w:t>
      </w:r>
      <w:r>
        <w:rPr>
          <w:color w:val="000000"/>
        </w:rPr>
        <w:t>zystywanie wyników takich badań i rozwoju.</w:t>
      </w:r>
    </w:p>
    <w:p w:rsidR="00B1146D" w:rsidRDefault="00717A52">
      <w:pPr>
        <w:spacing w:before="26" w:after="0"/>
        <w:ind w:left="373"/>
      </w:pPr>
      <w:r>
        <w:rPr>
          <w:color w:val="000000"/>
        </w:rPr>
        <w:t>3. Opracowanie na wszystkich poziomach skutecznych i przydatnych wskaźników presji na środowisko związanej z wytwarzaniem odpadów, przy czym celem tych wskaźników ma być przyczynienie się do zapobiegania powstawan</w:t>
      </w:r>
      <w:r>
        <w:rPr>
          <w:color w:val="000000"/>
        </w:rPr>
        <w:t>iu odpadów, od porównywania produktów na poziomie Wspólnoty, przez działania podjęte przez władze lokalne, po środki ogólnokrajowe.</w:t>
      </w:r>
    </w:p>
    <w:p w:rsidR="00B1146D" w:rsidRDefault="00717A52">
      <w:pPr>
        <w:spacing w:before="25" w:after="0"/>
        <w:ind w:left="373"/>
        <w:jc w:val="both"/>
      </w:pPr>
      <w:r>
        <w:rPr>
          <w:b/>
          <w:color w:val="000000"/>
        </w:rPr>
        <w:t>Środki, które mogą mieć wpływ na fazę projektu, produkcji i dystrybucji</w:t>
      </w:r>
    </w:p>
    <w:p w:rsidR="00B1146D" w:rsidRDefault="00717A52">
      <w:pPr>
        <w:spacing w:before="26" w:after="0"/>
        <w:ind w:left="373"/>
      </w:pPr>
      <w:r>
        <w:rPr>
          <w:color w:val="000000"/>
        </w:rPr>
        <w:t>4. Promocja eko-projektowania (systematycznego uwzgl</w:t>
      </w:r>
      <w:r>
        <w:rPr>
          <w:color w:val="000000"/>
        </w:rPr>
        <w:t>ędniania aspektów środowiskowych przy projektowaniu produktu z zamiarem poprawienia charakterystyki oddziaływania, jakie dany produkt wywiera na środowisko przez cały cykl życia).</w:t>
      </w:r>
    </w:p>
    <w:p w:rsidR="00B1146D" w:rsidRDefault="00717A52">
      <w:pPr>
        <w:spacing w:before="26" w:after="0"/>
        <w:ind w:left="373"/>
      </w:pPr>
      <w:r>
        <w:rPr>
          <w:color w:val="000000"/>
        </w:rPr>
        <w:t>5. Dostarczanie informacji o technikach zapobiegania powstawaniu odpadów z z</w:t>
      </w:r>
      <w:r>
        <w:rPr>
          <w:color w:val="000000"/>
        </w:rPr>
        <w:t>amiarem ułatwiania wprowadzania najlepszych dostępnych technik w przemyśle.</w:t>
      </w:r>
    </w:p>
    <w:p w:rsidR="00B1146D" w:rsidRDefault="00717A52">
      <w:pPr>
        <w:spacing w:before="26" w:after="0"/>
        <w:ind w:left="373"/>
      </w:pPr>
      <w:r>
        <w:rPr>
          <w:color w:val="000000"/>
        </w:rPr>
        <w:t>6. Organizacja szkoleń dla właściwych organów w zakresie wprowadzania wymogów dotyczących zapobiegania powstawaniu odpadów do zezwoleń udzielanych na mocy niniejszej dyrektywy oraz</w:t>
      </w:r>
      <w:r>
        <w:rPr>
          <w:color w:val="000000"/>
        </w:rPr>
        <w:t xml:space="preserve"> </w:t>
      </w:r>
      <w:r>
        <w:rPr>
          <w:color w:val="1B1B1B"/>
        </w:rPr>
        <w:t>dyrektywy</w:t>
      </w:r>
      <w:r>
        <w:rPr>
          <w:color w:val="000000"/>
        </w:rPr>
        <w:t xml:space="preserve"> 96/61/WE.</w:t>
      </w:r>
    </w:p>
    <w:p w:rsidR="00B1146D" w:rsidRDefault="00717A52">
      <w:pPr>
        <w:spacing w:before="26" w:after="0"/>
        <w:ind w:left="373"/>
      </w:pPr>
      <w:r>
        <w:rPr>
          <w:color w:val="000000"/>
        </w:rPr>
        <w:t xml:space="preserve">7. Objęcie środkami zapobiegania wytwarzaniu odpadów instalacji niepodlegających </w:t>
      </w:r>
      <w:r>
        <w:rPr>
          <w:color w:val="1B1B1B"/>
        </w:rPr>
        <w:t>dyrektywie</w:t>
      </w:r>
      <w:r>
        <w:rPr>
          <w:color w:val="000000"/>
        </w:rPr>
        <w:t xml:space="preserve"> 96/61/WE. W odpowiednich przypadkach środki takie mogą zawierać oceny i plany zapobiegania powstawaniu odpadów.</w:t>
      </w:r>
    </w:p>
    <w:p w:rsidR="00B1146D" w:rsidRDefault="00717A52">
      <w:pPr>
        <w:spacing w:before="26" w:after="0"/>
        <w:ind w:left="373"/>
      </w:pPr>
      <w:r>
        <w:rPr>
          <w:color w:val="000000"/>
        </w:rPr>
        <w:t xml:space="preserve">8. Wykorzystanie kampanii </w:t>
      </w:r>
      <w:r>
        <w:rPr>
          <w:color w:val="000000"/>
        </w:rPr>
        <w:t xml:space="preserve">informacyjnych oraz zapewnienie wsparcia finansowego, decyzyjnego i innego rodzaju wsparcia dla przedsiębiorstw. Środki takie będą szczególnie skuteczne, jeżeli będą skierowane i dostosowane do małych i średnich przedsiębiorstw i będą działały przez sieci </w:t>
      </w:r>
      <w:r>
        <w:rPr>
          <w:color w:val="000000"/>
        </w:rPr>
        <w:t>istniejących powiązań gospodarczych.</w:t>
      </w:r>
    </w:p>
    <w:p w:rsidR="00B1146D" w:rsidRDefault="00717A52">
      <w:pPr>
        <w:spacing w:before="26" w:after="0"/>
        <w:ind w:left="373"/>
      </w:pPr>
      <w:r>
        <w:rPr>
          <w:color w:val="000000"/>
        </w:rPr>
        <w:t>9. Stosowanie dobrowolnych umów, paneli konsumentów i producentów lub negocjacji sektorowych, zmierzających do tego, aby dane przedsiębiorstwa lub sektory przemysłu wyznaczały własne plany lub cele zapobiegania powstawa</w:t>
      </w:r>
      <w:r>
        <w:rPr>
          <w:color w:val="000000"/>
        </w:rPr>
        <w:t>niu odpadów lub udoskonalały nieoszczędne produkty lub opakowania.</w:t>
      </w:r>
    </w:p>
    <w:p w:rsidR="00B1146D" w:rsidRDefault="00717A52">
      <w:pPr>
        <w:spacing w:before="26" w:after="0"/>
        <w:ind w:left="373"/>
      </w:pPr>
      <w:r>
        <w:rPr>
          <w:color w:val="000000"/>
        </w:rPr>
        <w:t>10. Promocja wiarygodnych systemów zarządzania środowiskiem, w tym EMAS i ISO 14001.</w:t>
      </w:r>
    </w:p>
    <w:p w:rsidR="00B1146D" w:rsidRDefault="00717A52">
      <w:pPr>
        <w:spacing w:before="25" w:after="0"/>
        <w:ind w:left="373"/>
        <w:jc w:val="both"/>
      </w:pPr>
      <w:r>
        <w:rPr>
          <w:b/>
          <w:color w:val="000000"/>
        </w:rPr>
        <w:t>Środki, które mogą mieć wpływ na fazę konsumpcji i użytkowania</w:t>
      </w:r>
    </w:p>
    <w:p w:rsidR="00B1146D" w:rsidRDefault="00717A52">
      <w:pPr>
        <w:spacing w:before="26" w:after="0"/>
        <w:ind w:left="373"/>
      </w:pPr>
      <w:r>
        <w:rPr>
          <w:color w:val="000000"/>
        </w:rPr>
        <w:t>11. Instrumenty ekonomiczne, takie jak za</w:t>
      </w:r>
      <w:r>
        <w:rPr>
          <w:color w:val="000000"/>
        </w:rPr>
        <w:t>chęty do czystych zakupów lub wprowadzenie obowiązkowej zapłaty przez konsumentów za dany artykuł lub element opakowania, który w przeciwnym wypadku byłby wydawany bezpłatnie.</w:t>
      </w:r>
    </w:p>
    <w:p w:rsidR="00B1146D" w:rsidRDefault="00717A52">
      <w:pPr>
        <w:spacing w:before="26" w:after="0"/>
        <w:ind w:left="373"/>
      </w:pPr>
      <w:r>
        <w:rPr>
          <w:color w:val="000000"/>
        </w:rPr>
        <w:t>12. Wykorzystanie kampanii informacyjnych i kierowanie informacji do ogółu społe</w:t>
      </w:r>
      <w:r>
        <w:rPr>
          <w:color w:val="000000"/>
        </w:rPr>
        <w:t>czeństwa lub konkretnej grupy konsumentów.</w:t>
      </w:r>
    </w:p>
    <w:p w:rsidR="00B1146D" w:rsidRDefault="00717A52">
      <w:pPr>
        <w:spacing w:before="26" w:after="0"/>
        <w:ind w:left="373"/>
      </w:pPr>
      <w:r>
        <w:rPr>
          <w:color w:val="000000"/>
        </w:rPr>
        <w:t>13. Promocja wiarygodnego etykietowania ekologicznego.</w:t>
      </w:r>
    </w:p>
    <w:p w:rsidR="00B1146D" w:rsidRDefault="00717A52">
      <w:pPr>
        <w:spacing w:before="26" w:after="0"/>
        <w:ind w:left="373"/>
      </w:pPr>
      <w:r>
        <w:rPr>
          <w:color w:val="000000"/>
        </w:rPr>
        <w:t>14. Porozumienia z sektorem przemysłu, np. dotyczące paneli produktów podobnych do prowadzonych w ramach zintegrowanych polityk produktowych lub umowy z detal</w:t>
      </w:r>
      <w:r>
        <w:rPr>
          <w:color w:val="000000"/>
        </w:rPr>
        <w:t>istami w sprawie dostępności informacji o zapobieganiu powstawaniu odpadów oraz w sprawie produktów powodujących mniejsze oddziaływanie na środowisko.</w:t>
      </w:r>
    </w:p>
    <w:p w:rsidR="00B1146D" w:rsidRDefault="00717A52">
      <w:pPr>
        <w:spacing w:before="26" w:after="0"/>
        <w:ind w:left="373"/>
      </w:pPr>
      <w:r>
        <w:rPr>
          <w:color w:val="000000"/>
        </w:rPr>
        <w:t>15. W kontekście zamówień publicznych i zaopatrzenia przedsiębiorstw - włączanie kryteriów związanych z o</w:t>
      </w:r>
      <w:r>
        <w:rPr>
          <w:color w:val="000000"/>
        </w:rPr>
        <w:t>chroną środowiska i zapobieganiem powstawaniu odpadów do zaproszeń do składania ofert i kontraktów, zgodnie z Podręcznikiem na temat ekologicznych zamówień publicznych, opublikowanym przez Komisję 29 października 2004 r.</w:t>
      </w:r>
    </w:p>
    <w:p w:rsidR="00B1146D" w:rsidRDefault="00717A52">
      <w:pPr>
        <w:spacing w:before="26" w:after="0"/>
        <w:ind w:left="373"/>
      </w:pPr>
      <w:r>
        <w:rPr>
          <w:color w:val="000000"/>
        </w:rPr>
        <w:t>16. Propagowanie ponownego użycia l</w:t>
      </w:r>
      <w:r>
        <w:rPr>
          <w:color w:val="000000"/>
        </w:rPr>
        <w:t>ub naprawy wyrzucanych produktów lub ich składników, w szczególności przez stosowanie środków edukacyjnych, ekonomicznych, logistycznych i innych, takich jak wspieranie lub tworzenie akredytowanych sieci napraw i ponownego użycia, zwłaszcza w regionach gęs</w:t>
      </w:r>
      <w:r>
        <w:rPr>
          <w:color w:val="000000"/>
        </w:rPr>
        <w:t>to zaludnionych.</w:t>
      </w:r>
    </w:p>
    <w:p w:rsidR="00B1146D" w:rsidRDefault="00B1146D">
      <w:pPr>
        <w:spacing w:after="0"/>
      </w:pPr>
    </w:p>
    <w:p w:rsidR="00B1146D" w:rsidRDefault="00717A52">
      <w:pPr>
        <w:spacing w:before="80" w:after="0"/>
        <w:jc w:val="center"/>
      </w:pPr>
      <w:r>
        <w:rPr>
          <w:b/>
          <w:color w:val="000000"/>
        </w:rPr>
        <w:t xml:space="preserve">ZAŁĄCZNIK  V </w:t>
      </w:r>
    </w:p>
    <w:p w:rsidR="00B1146D" w:rsidRDefault="00717A52">
      <w:pPr>
        <w:spacing w:before="25" w:after="0"/>
        <w:jc w:val="center"/>
      </w:pPr>
      <w:r>
        <w:rPr>
          <w:b/>
          <w:color w:val="000000"/>
        </w:rPr>
        <w:t>TABELA ZGODNOŚCI</w:t>
      </w:r>
    </w:p>
    <w:tbl>
      <w:tblPr>
        <w:tblW w:w="0" w:type="auto"/>
        <w:tblCellSpacing w:w="0" w:type="auto"/>
        <w:tblBorders>
          <w:top w:val="single" w:sz="8" w:space="0" w:color="000000"/>
          <w:bottom w:val="single" w:sz="8" w:space="0" w:color="000000"/>
        </w:tblBorders>
        <w:tblLook w:val="04A0" w:firstRow="1" w:lastRow="0" w:firstColumn="1" w:lastColumn="0" w:noHBand="0" w:noVBand="1"/>
      </w:tblPr>
      <w:tblGrid>
        <w:gridCol w:w="6154"/>
        <w:gridCol w:w="6539"/>
      </w:tblGrid>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Dyrektywa 2006/12/WE</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jc w:val="center"/>
            </w:pPr>
            <w:r>
              <w:rPr>
                <w:color w:val="000000"/>
              </w:rPr>
              <w:t>Niniejsza dyrektywa</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 lit. a)</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1</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 lit. b)</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 lit. c)</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6</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 lit. d)</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9</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 xml:space="preserve">Art. 1 ust. 1 </w:t>
            </w:r>
            <w:r>
              <w:rPr>
                <w:color w:val="000000"/>
              </w:rPr>
              <w:t>lit. e)</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19</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 lit. f)</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15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 lit. g)</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10</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7</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a)</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a)</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b)</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2</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 xml:space="preserve">Art. 2 ust. 1 lit. b) </w:t>
            </w:r>
            <w:r>
              <w:rPr>
                <w:color w:val="000000"/>
              </w:rPr>
              <w:t>ppkt. (i)</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d)</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b) ppkt. (ii)</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2 lit. d)</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b) ppkt. (iii)</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f) i ust. 2 lit. c)</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b) ppkt. (iv)</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2 lit. a)</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 lit. b) ppkt. (v)</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 xml:space="preserve">Art. </w:t>
            </w:r>
            <w:r>
              <w:rPr>
                <w:color w:val="000000"/>
              </w:rPr>
              <w:t>2 ust. 1 lit. e)</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4</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4</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4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4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36 ust. 1</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16</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6</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7</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28</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8</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9</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10</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24 i 25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26</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w:t>
            </w:r>
            <w:r>
              <w:rPr>
                <w:color w:val="000000"/>
              </w:rPr>
              <w:t xml:space="preserve"> 13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34</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14</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15</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14</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16</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37</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17</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38</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18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39 ust. 1</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39 ust. 2</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18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18 ust.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39 ust. 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19</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40</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20</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42</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43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IIA</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IIB</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II</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Dyrektywa 75/439/EWG</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Niniejsza dyrektywa</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18</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13 i 21</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1 i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4</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 ust.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 ust. 4</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26 i 34</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6</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7 lit. a)</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7 lit. b)</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8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8 ust. 2 lit. a)</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8 ust. 2 lit. b)</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8 ust.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9</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10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18</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10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10 ust. 3 i 4</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10 ust. 5</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19, 21, 25, 34 i 35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13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34</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13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14</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15</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16</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17</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18</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37</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19</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20</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Dyrektywa 91/689/EWG</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Niniejsza dyrektywa</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4</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 ust. 2 i 7</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 ust. 5</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20</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23</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2 ust. 2-4</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18</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24, 25 i 26</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4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34 ust. 1</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4 ust. 2 i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 ust. 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19 ust. 1</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 ust. 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35</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5 ust. 3</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19 ust. 2</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6</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Art. 28</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7</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8</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9</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10</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11</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Art. 12</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 i II</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w:t>
            </w:r>
          </w:p>
        </w:tc>
      </w:tr>
      <w:tr w:rsidR="00B1146D">
        <w:trPr>
          <w:trHeight w:val="45"/>
          <w:tblCellSpacing w:w="0" w:type="auto"/>
        </w:trPr>
        <w:tc>
          <w:tcPr>
            <w:tcW w:w="6154" w:type="dxa"/>
            <w:tcBorders>
              <w:bottom w:val="single" w:sz="8" w:space="0" w:color="000000"/>
              <w:right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III</w:t>
            </w:r>
          </w:p>
        </w:tc>
        <w:tc>
          <w:tcPr>
            <w:tcW w:w="6539" w:type="dxa"/>
            <w:tcBorders>
              <w:bottom w:val="single" w:sz="8" w:space="0" w:color="000000"/>
            </w:tcBorders>
            <w:tcMar>
              <w:top w:w="15" w:type="dxa"/>
              <w:left w:w="15" w:type="dxa"/>
              <w:bottom w:w="15" w:type="dxa"/>
              <w:right w:w="15" w:type="dxa"/>
            </w:tcMar>
            <w:vAlign w:val="center"/>
          </w:tcPr>
          <w:p w:rsidR="00B1146D" w:rsidRDefault="00717A52">
            <w:pPr>
              <w:spacing w:after="0"/>
            </w:pPr>
            <w:r>
              <w:rPr>
                <w:color w:val="000000"/>
              </w:rPr>
              <w:t>Załącznik III</w:t>
            </w:r>
          </w:p>
        </w:tc>
      </w:tr>
    </w:tbl>
    <w:p w:rsidR="00B1146D" w:rsidRDefault="00717A52">
      <w:pPr>
        <w:spacing w:before="250" w:after="0"/>
      </w:pPr>
      <w:r>
        <w:rPr>
          <w:color w:val="000000"/>
          <w:vertAlign w:val="superscript"/>
        </w:rPr>
        <w:t>1</w:t>
      </w:r>
      <w:r>
        <w:rPr>
          <w:color w:val="000000"/>
        </w:rPr>
        <w:t> Dz.U. C 309 z 16.12.2006, s. 55.</w:t>
      </w:r>
    </w:p>
    <w:p w:rsidR="00B1146D" w:rsidRDefault="00717A52">
      <w:pPr>
        <w:spacing w:after="0"/>
      </w:pPr>
      <w:r>
        <w:rPr>
          <w:color w:val="000000"/>
          <w:vertAlign w:val="superscript"/>
        </w:rPr>
        <w:t>2</w:t>
      </w:r>
      <w:r>
        <w:rPr>
          <w:color w:val="000000"/>
        </w:rPr>
        <w:t xml:space="preserve"> Dz.U. </w:t>
      </w:r>
      <w:r>
        <w:rPr>
          <w:color w:val="000000"/>
        </w:rPr>
        <w:t>C 229 z 22.9.2006, s. 1.</w:t>
      </w:r>
    </w:p>
    <w:p w:rsidR="00B1146D" w:rsidRDefault="00717A52">
      <w:pPr>
        <w:spacing w:after="0"/>
      </w:pPr>
      <w:r>
        <w:rPr>
          <w:color w:val="000000"/>
          <w:vertAlign w:val="superscript"/>
        </w:rPr>
        <w:t>3</w:t>
      </w:r>
      <w:r>
        <w:rPr>
          <w:color w:val="000000"/>
        </w:rPr>
        <w:t> Opinia Parlamentu Europejskiego z dnia 13 lutego 2007 (Dz.U. C 287 E z 29.11.2007, s. 135). Wspólne stanowisko Rady z dnia 20 grudnia 2007 r. (Dz.U. C 71 E z 18.3.2008, s. 16). Stanowisko Parlamentu Europejskiego z dnia 17 czerwc</w:t>
      </w:r>
      <w:r>
        <w:rPr>
          <w:color w:val="000000"/>
        </w:rPr>
        <w:t>a 2008 r (dotychczas nieopublikowane w Dzienniku Urzędowym) oraz decyzja Rady z dnia 20 października 2008 r.</w:t>
      </w:r>
    </w:p>
    <w:p w:rsidR="00B1146D" w:rsidRDefault="00717A52">
      <w:pPr>
        <w:spacing w:after="0"/>
      </w:pPr>
      <w:r>
        <w:rPr>
          <w:color w:val="000000"/>
          <w:vertAlign w:val="superscript"/>
        </w:rPr>
        <w:t>4</w:t>
      </w:r>
      <w:r>
        <w:rPr>
          <w:color w:val="000000"/>
        </w:rPr>
        <w:t> Dz.U. L 114 z 27.4.2006, s. 9.</w:t>
      </w:r>
    </w:p>
    <w:p w:rsidR="00B1146D" w:rsidRDefault="00717A52">
      <w:pPr>
        <w:spacing w:after="0"/>
      </w:pPr>
      <w:r>
        <w:rPr>
          <w:color w:val="000000"/>
          <w:vertAlign w:val="superscript"/>
        </w:rPr>
        <w:t>5</w:t>
      </w:r>
      <w:r>
        <w:rPr>
          <w:color w:val="000000"/>
        </w:rPr>
        <w:t> Dz.U. L 242 z 10.9.2002, s. 1.</w:t>
      </w:r>
    </w:p>
    <w:p w:rsidR="00B1146D" w:rsidRDefault="00717A52">
      <w:pPr>
        <w:spacing w:after="0"/>
      </w:pPr>
      <w:r>
        <w:rPr>
          <w:color w:val="000000"/>
          <w:vertAlign w:val="superscript"/>
        </w:rPr>
        <w:t>6</w:t>
      </w:r>
      <w:r>
        <w:rPr>
          <w:color w:val="000000"/>
        </w:rPr>
        <w:t> Dz.U. C 104 E z 30.4.2004, s. 401.</w:t>
      </w:r>
    </w:p>
    <w:p w:rsidR="00B1146D" w:rsidRDefault="00717A52">
      <w:pPr>
        <w:spacing w:after="0"/>
      </w:pPr>
      <w:r>
        <w:rPr>
          <w:color w:val="000000"/>
          <w:vertAlign w:val="superscript"/>
        </w:rPr>
        <w:t>7</w:t>
      </w:r>
      <w:r>
        <w:rPr>
          <w:color w:val="000000"/>
        </w:rPr>
        <w:t xml:space="preserve"> Dz.U. L 257 z 10.10.1996, s. 26. </w:t>
      </w:r>
      <w:r>
        <w:rPr>
          <w:color w:val="1B1B1B"/>
        </w:rPr>
        <w:t>Dyrektywa</w:t>
      </w:r>
      <w:r>
        <w:rPr>
          <w:color w:val="000000"/>
        </w:rPr>
        <w:t xml:space="preserve"> zastąpiona </w:t>
      </w:r>
      <w:r>
        <w:rPr>
          <w:color w:val="1B1B1B"/>
        </w:rPr>
        <w:t>dyrektywą</w:t>
      </w:r>
      <w:r>
        <w:rPr>
          <w:color w:val="000000"/>
        </w:rPr>
        <w:t xml:space="preserve"> Parlamentu Europejskiego i Rady 2008/1/WE (Dz.U. L 24 z 29.1.2008, s. 8).</w:t>
      </w:r>
    </w:p>
    <w:p w:rsidR="00B1146D" w:rsidRDefault="00717A52">
      <w:pPr>
        <w:spacing w:after="0"/>
      </w:pPr>
      <w:r>
        <w:rPr>
          <w:color w:val="000000"/>
          <w:vertAlign w:val="superscript"/>
        </w:rPr>
        <w:t>8</w:t>
      </w:r>
      <w:r>
        <w:rPr>
          <w:color w:val="000000"/>
        </w:rPr>
        <w:t> Dz.U. C 76 z 11.3.1997, s. 1.</w:t>
      </w:r>
    </w:p>
    <w:p w:rsidR="00B1146D" w:rsidRDefault="00717A52">
      <w:pPr>
        <w:spacing w:after="0"/>
      </w:pPr>
      <w:r>
        <w:rPr>
          <w:color w:val="000000"/>
          <w:vertAlign w:val="superscript"/>
        </w:rPr>
        <w:t>9</w:t>
      </w:r>
      <w:r>
        <w:rPr>
          <w:color w:val="000000"/>
        </w:rPr>
        <w:t> Dz.U. L 273 z 10.10.2002, s. 1.</w:t>
      </w:r>
    </w:p>
    <w:p w:rsidR="00B1146D" w:rsidRDefault="00717A52">
      <w:pPr>
        <w:spacing w:after="0"/>
      </w:pPr>
      <w:r>
        <w:rPr>
          <w:color w:val="000000"/>
          <w:vertAlign w:val="superscript"/>
        </w:rPr>
        <w:t>10</w:t>
      </w:r>
      <w:r>
        <w:rPr>
          <w:color w:val="000000"/>
        </w:rPr>
        <w:t> </w:t>
      </w:r>
      <w:r>
        <w:rPr>
          <w:color w:val="1B1B1B"/>
        </w:rPr>
        <w:t>Decyzja</w:t>
      </w:r>
      <w:r>
        <w:rPr>
          <w:color w:val="000000"/>
        </w:rPr>
        <w:t xml:space="preserve"> 2000/532/WE z dnia 3 maja 2000 r. zastępująca decyzję 94/3/WE ustanawiającą wykaz odpadów zgodnie z art. 1 lit. a) dyrektywy Rady 75/442/EWG w sprawie odpadów oraz decyzję Rady 94/904/WE ustanawiającą wykaz odpadów niebezpiecznych zgodnie z art. 1 ust. 4 </w:t>
      </w:r>
      <w:r>
        <w:rPr>
          <w:color w:val="000000"/>
        </w:rPr>
        <w:t>dyrektywy Rady 91/689/EWG w sprawie odpadów niebezpiecznych (Dz.U. L 226 z 6.9.2000, s. 3).</w:t>
      </w:r>
    </w:p>
    <w:p w:rsidR="00B1146D" w:rsidRDefault="00717A52">
      <w:pPr>
        <w:spacing w:after="0"/>
      </w:pPr>
      <w:r>
        <w:rPr>
          <w:color w:val="000000"/>
          <w:vertAlign w:val="superscript"/>
        </w:rPr>
        <w:t>11</w:t>
      </w:r>
      <w:r>
        <w:rPr>
          <w:color w:val="000000"/>
        </w:rPr>
        <w:t> Dz.U. L 182 E z 16.7.1999, s. 1.</w:t>
      </w:r>
    </w:p>
    <w:p w:rsidR="00B1146D" w:rsidRDefault="00717A52">
      <w:pPr>
        <w:spacing w:after="0"/>
      </w:pPr>
      <w:r>
        <w:rPr>
          <w:color w:val="000000"/>
          <w:vertAlign w:val="superscript"/>
        </w:rPr>
        <w:t>12</w:t>
      </w:r>
      <w:r>
        <w:rPr>
          <w:color w:val="000000"/>
        </w:rPr>
        <w:t> Dz.U. L 365 z 31.12.1994, s. 10.</w:t>
      </w:r>
    </w:p>
    <w:p w:rsidR="00B1146D" w:rsidRDefault="00717A52">
      <w:pPr>
        <w:spacing w:after="0"/>
      </w:pPr>
      <w:r>
        <w:rPr>
          <w:color w:val="000000"/>
          <w:vertAlign w:val="superscript"/>
        </w:rPr>
        <w:t>13</w:t>
      </w:r>
      <w:r>
        <w:rPr>
          <w:color w:val="000000"/>
        </w:rPr>
        <w:t> Dz.U. L 269 z 21.10.2000, s. 34.</w:t>
      </w:r>
    </w:p>
    <w:p w:rsidR="00B1146D" w:rsidRDefault="00717A52">
      <w:pPr>
        <w:spacing w:after="0"/>
      </w:pPr>
      <w:r>
        <w:rPr>
          <w:color w:val="000000"/>
          <w:vertAlign w:val="superscript"/>
        </w:rPr>
        <w:t>14</w:t>
      </w:r>
      <w:r>
        <w:rPr>
          <w:color w:val="000000"/>
        </w:rPr>
        <w:t> Dz.U. L 37 z 13.2.2003, s. 24.</w:t>
      </w:r>
    </w:p>
    <w:p w:rsidR="00B1146D" w:rsidRDefault="00717A52">
      <w:pPr>
        <w:spacing w:after="0"/>
      </w:pPr>
      <w:r>
        <w:rPr>
          <w:color w:val="000000"/>
          <w:vertAlign w:val="superscript"/>
        </w:rPr>
        <w:t>15</w:t>
      </w:r>
      <w:r>
        <w:rPr>
          <w:color w:val="000000"/>
        </w:rPr>
        <w:t> Dz.U. L 266 z 26.9.</w:t>
      </w:r>
      <w:r>
        <w:rPr>
          <w:color w:val="000000"/>
        </w:rPr>
        <w:t>2006, s. 1.</w:t>
      </w:r>
    </w:p>
    <w:p w:rsidR="00B1146D" w:rsidRDefault="00717A52">
      <w:pPr>
        <w:spacing w:after="0"/>
      </w:pPr>
      <w:r>
        <w:rPr>
          <w:color w:val="000000"/>
          <w:vertAlign w:val="superscript"/>
        </w:rPr>
        <w:t>16</w:t>
      </w:r>
      <w:r>
        <w:rPr>
          <w:color w:val="000000"/>
        </w:rPr>
        <w:t> Dz.U. L 190 z 12.7.2006, s. 1.</w:t>
      </w:r>
    </w:p>
    <w:p w:rsidR="00B1146D" w:rsidRDefault="00717A52">
      <w:pPr>
        <w:spacing w:after="0"/>
      </w:pPr>
      <w:r>
        <w:rPr>
          <w:color w:val="000000"/>
          <w:vertAlign w:val="superscript"/>
        </w:rPr>
        <w:t>17</w:t>
      </w:r>
      <w:r>
        <w:rPr>
          <w:color w:val="000000"/>
        </w:rPr>
        <w:t> Dz.U. L 156 z 25.6.2003, s. 17.</w:t>
      </w:r>
    </w:p>
    <w:p w:rsidR="00B1146D" w:rsidRDefault="00717A52">
      <w:pPr>
        <w:spacing w:after="0"/>
      </w:pPr>
      <w:r>
        <w:rPr>
          <w:color w:val="000000"/>
          <w:vertAlign w:val="superscript"/>
        </w:rPr>
        <w:t>18</w:t>
      </w:r>
      <w:r>
        <w:rPr>
          <w:color w:val="000000"/>
        </w:rPr>
        <w:t> Dz.U. L 377 z 31.12.1991, s. 20.</w:t>
      </w:r>
    </w:p>
    <w:p w:rsidR="00B1146D" w:rsidRDefault="00717A52">
      <w:pPr>
        <w:spacing w:after="0"/>
      </w:pPr>
      <w:r>
        <w:rPr>
          <w:color w:val="000000"/>
          <w:vertAlign w:val="superscript"/>
        </w:rPr>
        <w:t>19</w:t>
      </w:r>
      <w:r>
        <w:rPr>
          <w:color w:val="000000"/>
        </w:rPr>
        <w:t> Dz.U. L 194 z 25.7.1975, s. 23.</w:t>
      </w:r>
    </w:p>
    <w:p w:rsidR="00B1146D" w:rsidRDefault="00717A52">
      <w:pPr>
        <w:spacing w:after="0"/>
      </w:pPr>
      <w:r>
        <w:rPr>
          <w:color w:val="000000"/>
          <w:vertAlign w:val="superscript"/>
        </w:rPr>
        <w:t>20</w:t>
      </w:r>
      <w:r>
        <w:rPr>
          <w:color w:val="000000"/>
        </w:rPr>
        <w:t> Dz.U. L 143 z 30.4.2004, s. 56.</w:t>
      </w:r>
    </w:p>
    <w:p w:rsidR="00B1146D" w:rsidRDefault="00717A52">
      <w:pPr>
        <w:spacing w:after="0"/>
      </w:pPr>
      <w:r>
        <w:rPr>
          <w:color w:val="000000"/>
          <w:vertAlign w:val="superscript"/>
        </w:rPr>
        <w:t>21</w:t>
      </w:r>
      <w:r>
        <w:rPr>
          <w:color w:val="000000"/>
        </w:rPr>
        <w:t> Dz.U. L 184 z 17.7.1999, s. 23.</w:t>
      </w:r>
    </w:p>
    <w:p w:rsidR="00B1146D" w:rsidRDefault="00717A52">
      <w:pPr>
        <w:spacing w:after="0"/>
      </w:pPr>
      <w:r>
        <w:rPr>
          <w:color w:val="000000"/>
          <w:vertAlign w:val="superscript"/>
        </w:rPr>
        <w:t>22</w:t>
      </w:r>
      <w:r>
        <w:rPr>
          <w:color w:val="000000"/>
        </w:rPr>
        <w:t> Dz.U. C 321 z 31.12.2003, s. 1.</w:t>
      </w:r>
    </w:p>
    <w:p w:rsidR="00B1146D" w:rsidRDefault="00717A52">
      <w:pPr>
        <w:spacing w:after="0"/>
      </w:pPr>
      <w:r>
        <w:rPr>
          <w:color w:val="000000"/>
          <w:vertAlign w:val="superscript"/>
        </w:rPr>
        <w:t>23</w:t>
      </w:r>
      <w:r>
        <w:rPr>
          <w:color w:val="000000"/>
        </w:rPr>
        <w:t> Dz.U. L 102 z 11.4.2006, s. 15.</w:t>
      </w:r>
    </w:p>
    <w:p w:rsidR="00B1146D" w:rsidRDefault="00717A52">
      <w:pPr>
        <w:spacing w:after="0"/>
      </w:pPr>
      <w:r>
        <w:rPr>
          <w:color w:val="000000"/>
          <w:vertAlign w:val="superscript"/>
        </w:rPr>
        <w:t>24</w:t>
      </w:r>
      <w:r>
        <w:rPr>
          <w:color w:val="000000"/>
        </w:rPr>
        <w:t> Art. 2 ust. 3 zmieniony przez sprostowanie z dnia 28 stycznia 2015 r. (Dz.U.UE.L.2015.21.22).</w:t>
      </w:r>
    </w:p>
    <w:p w:rsidR="00B1146D" w:rsidRDefault="00717A52">
      <w:pPr>
        <w:spacing w:after="0"/>
      </w:pPr>
      <w:r>
        <w:rPr>
          <w:color w:val="000000"/>
          <w:vertAlign w:val="superscript"/>
        </w:rPr>
        <w:t>25</w:t>
      </w:r>
      <w:r>
        <w:rPr>
          <w:color w:val="000000"/>
        </w:rPr>
        <w:t> Dz.U. L 204 z 21.7.1998, s. 37.</w:t>
      </w:r>
    </w:p>
    <w:p w:rsidR="00B1146D" w:rsidRDefault="00717A52">
      <w:pPr>
        <w:spacing w:after="0"/>
      </w:pPr>
      <w:r>
        <w:rPr>
          <w:color w:val="000000"/>
          <w:vertAlign w:val="superscript"/>
        </w:rPr>
        <w:t>26</w:t>
      </w:r>
      <w:r>
        <w:rPr>
          <w:color w:val="000000"/>
        </w:rPr>
        <w:t> Dz.U. L 332 z 9.12.2002, s. 1.</w:t>
      </w:r>
    </w:p>
    <w:p w:rsidR="00B1146D" w:rsidRDefault="00717A52">
      <w:pPr>
        <w:spacing w:after="0"/>
      </w:pPr>
      <w:r>
        <w:rPr>
          <w:color w:val="000000"/>
          <w:vertAlign w:val="superscript"/>
        </w:rPr>
        <w:t>27</w:t>
      </w:r>
      <w:r>
        <w:rPr>
          <w:color w:val="000000"/>
        </w:rPr>
        <w:t> Dz.U. L 197 z 21.7.2001, s. 30.</w:t>
      </w:r>
    </w:p>
    <w:p w:rsidR="00B1146D" w:rsidRDefault="00717A52">
      <w:pPr>
        <w:spacing w:after="0"/>
      </w:pPr>
      <w:r>
        <w:rPr>
          <w:color w:val="000000"/>
          <w:vertAlign w:val="superscript"/>
        </w:rPr>
        <w:t>28</w:t>
      </w:r>
      <w:r>
        <w:rPr>
          <w:color w:val="000000"/>
        </w:rPr>
        <w:t> Dz.U. L 377 z 31</w:t>
      </w:r>
      <w:r>
        <w:rPr>
          <w:color w:val="000000"/>
        </w:rPr>
        <w:t>.12.1991, s. 48.</w:t>
      </w:r>
    </w:p>
    <w:p w:rsidR="00B1146D" w:rsidRDefault="00717A52">
      <w:pPr>
        <w:spacing w:after="0"/>
      </w:pPr>
      <w:r>
        <w:rPr>
          <w:color w:val="000000"/>
          <w:vertAlign w:val="superscript"/>
        </w:rPr>
        <w:t>*</w:t>
      </w:r>
      <w:r>
        <w:rPr>
          <w:color w:val="000000"/>
        </w:rPr>
        <w:t> Dz.U. L 114 z 27.4.2006, s. 9.</w:t>
      </w:r>
    </w:p>
    <w:p w:rsidR="00B1146D" w:rsidRDefault="00717A52">
      <w:pPr>
        <w:spacing w:after="0"/>
      </w:pPr>
      <w:r>
        <w:rPr>
          <w:color w:val="000000"/>
          <w:vertAlign w:val="superscript"/>
        </w:rPr>
        <w:t>*</w:t>
      </w:r>
      <w:r>
        <w:rPr>
          <w:color w:val="000000"/>
        </w:rPr>
        <w:t> Dz.U. L 226 z 6.9.2000, s. 3.</w:t>
      </w:r>
    </w:p>
    <w:p w:rsidR="00B1146D" w:rsidRDefault="00717A52">
      <w:pPr>
        <w:spacing w:after="0"/>
      </w:pPr>
      <w:r>
        <w:rPr>
          <w:color w:val="000000"/>
          <w:vertAlign w:val="superscript"/>
        </w:rPr>
        <w:t>**</w:t>
      </w:r>
      <w:r>
        <w:rPr>
          <w:color w:val="000000"/>
        </w:rPr>
        <w:t> Dz.U. L 114 z 27.4.2006, s. 9.</w:t>
      </w:r>
    </w:p>
    <w:p w:rsidR="00B1146D" w:rsidRDefault="00717A52">
      <w:pPr>
        <w:spacing w:after="0"/>
      </w:pPr>
      <w:r>
        <w:rPr>
          <w:color w:val="000000"/>
          <w:vertAlign w:val="superscript"/>
        </w:rPr>
        <w:t>*</w:t>
      </w:r>
      <w:r>
        <w:rPr>
          <w:color w:val="000000"/>
        </w:rPr>
        <w:t> Dz.U. L 226 z 6.9.2000, s. 3.</w:t>
      </w:r>
    </w:p>
    <w:p w:rsidR="00B1146D" w:rsidRDefault="00717A52">
      <w:pPr>
        <w:spacing w:after="0"/>
      </w:pPr>
      <w:r>
        <w:rPr>
          <w:color w:val="000000"/>
          <w:vertAlign w:val="superscript"/>
        </w:rPr>
        <w:t>*</w:t>
      </w:r>
      <w:r>
        <w:rPr>
          <w:color w:val="000000"/>
        </w:rPr>
        <w:t> Ten proces jest zabroniony na mocy przepisów UE i konwencji międzynarodowych.</w:t>
      </w:r>
    </w:p>
    <w:p w:rsidR="00B1146D" w:rsidRDefault="00717A52">
      <w:pPr>
        <w:spacing w:after="0"/>
      </w:pPr>
      <w:r>
        <w:rPr>
          <w:color w:val="000000"/>
          <w:vertAlign w:val="superscript"/>
        </w:rPr>
        <w:t>**</w:t>
      </w:r>
      <w:r>
        <w:rPr>
          <w:color w:val="000000"/>
        </w:rPr>
        <w:t xml:space="preserve"> Jeżeli nie istnieje inny </w:t>
      </w:r>
      <w:r>
        <w:rPr>
          <w:color w:val="000000"/>
        </w:rPr>
        <w:t xml:space="preserve">właściwy kod D, mogą tu być uwzględnione procesy wstępne poprzedzające unieszkodliwienie, w tym wstępna obróbka, jak np. sortowanie, kruszenie, zagęszczanie, granulacja, suszenie, rozdrabnianie, kondycjonowanie lub separacja przed poddaniem któremukolwiek </w:t>
      </w:r>
      <w:r>
        <w:rPr>
          <w:color w:val="000000"/>
        </w:rPr>
        <w:t>spośród procesów wymienionych w pkt D 1-D 12.</w:t>
      </w:r>
    </w:p>
    <w:p w:rsidR="00B1146D" w:rsidRDefault="00717A52">
      <w:pPr>
        <w:spacing w:after="0"/>
      </w:pPr>
      <w:r>
        <w:rPr>
          <w:color w:val="000000"/>
          <w:vertAlign w:val="superscript"/>
        </w:rPr>
        <w:t>***</w:t>
      </w:r>
      <w:r>
        <w:rPr>
          <w:color w:val="000000"/>
        </w:rPr>
        <w:t> Tymczasowe magazynowanie oznacza wstępne magazynowanie zgodne z art. 3 pkt 10.</w:t>
      </w:r>
    </w:p>
    <w:p w:rsidR="00B1146D" w:rsidRDefault="00717A52">
      <w:pPr>
        <w:spacing w:after="0"/>
      </w:pPr>
      <w:r>
        <w:rPr>
          <w:color w:val="000000"/>
          <w:vertAlign w:val="superscript"/>
        </w:rPr>
        <w:t>*</w:t>
      </w:r>
      <w:r>
        <w:rPr>
          <w:color w:val="000000"/>
        </w:rPr>
        <w:t xml:space="preserve"> Pozycja ta obejmuje obiekty przekształcania termicznego przeznaczone wyłącznie do przetwarzania komunalnych odpadów stałych, </w:t>
      </w:r>
      <w:r>
        <w:rPr>
          <w:color w:val="000000"/>
        </w:rPr>
        <w:t>pod warunkiem że ich efektywność energetyczna jest równa lub większa niż:Wynik wzoru na efektywność energetyczną mnoży się przez współczynnik korekcyjny związany z klimatem CCF, jak pokazano poniżej:1.CCF dla działających instalacji, które otrzymały zezwol</w:t>
      </w:r>
      <w:r>
        <w:rPr>
          <w:color w:val="000000"/>
        </w:rPr>
        <w:t>enie zgodnie z prawodawstwem unijnym obowiązującym przed dniem 1 września 2015 r.CCF = 1, jeżeli HDD ≥ 3 350 CCF = 1,25, jeżeli HDD ≤ 2 150CCF = - (0,25/1 200) × HDD + 1,698, kiedy 2 150 &lt; HDD &lt; 3 3502.CCF dla instalacji, które otrzymały zezwolenie po dniu</w:t>
      </w:r>
      <w:r>
        <w:rPr>
          <w:color w:val="000000"/>
        </w:rPr>
        <w:t xml:space="preserve"> 31 sierpnia 2015 r., oraz dla instalacji, o których mowa w pkt 1, po dniu 31 grudnia 2029 r.:CCF = 1, jeżeli HDD ≥ 3 350CCF = 1,12, jeżeli HDD ≤ 2 150CCF = - (0,12/1 200) × HDD + 1,335, kiedy 2 150 &lt; HDD &lt; 3 350(Uzyskaną wartość CCF zaokrągla się do trzec</w:t>
      </w:r>
      <w:r>
        <w:rPr>
          <w:color w:val="000000"/>
        </w:rPr>
        <w:t>h miejsc po przecinku).Za wartość HDD (stopniodni grzania) należy uznać średnią wartości rocznych HDD dla lokalizacji obiektów przekształcania termicznego z 20 kolejnych lat przed rokiem, za który oblicza się CCF. Aby obliczyć wartość HDD, należy zastosowa</w:t>
      </w:r>
      <w:r>
        <w:rPr>
          <w:color w:val="000000"/>
        </w:rPr>
        <w:t>ć poniższą metodę ustanowioną przez Eurostat: HDD wynosi (18 °C - Tm) × d, jeżeli Tm nie przekracza 15 °C (wartość progowa dla ogrzewania), oraz zero, jeżeli Tm wynosi powyżej 15 °C, przy czym Tm jest to średnia (Tmin + Tmax)/2 temperatura zewnętrzna z okr</w:t>
      </w:r>
      <w:r>
        <w:rPr>
          <w:color w:val="000000"/>
        </w:rPr>
        <w:t>esu d dni. Obliczenia należy wykonywać codziennie (d = 1), sumując wyniki do roku._____Odnośnik zmieniony przez art. 1 dyrektywy nr (UE) 2015/1127 z dnia 10 lipca 2015 r. (Dz.U.UE.L.2015.184.13) zmieniającej nin. dyrektywę z dniem 31 lipca 2015 r.</w:t>
      </w:r>
    </w:p>
    <w:p w:rsidR="00B1146D" w:rsidRDefault="00717A52">
      <w:pPr>
        <w:spacing w:after="0"/>
      </w:pPr>
      <w:r>
        <w:rPr>
          <w:color w:val="000000"/>
          <w:vertAlign w:val="superscript"/>
        </w:rPr>
        <w:t>**</w:t>
      </w:r>
      <w:r>
        <w:rPr>
          <w:color w:val="000000"/>
        </w:rPr>
        <w:t> Pozyc</w:t>
      </w:r>
      <w:r>
        <w:rPr>
          <w:color w:val="000000"/>
        </w:rPr>
        <w:t>ja ta obejmuje zgazowanie i pirolizę z wykorzystaniem tych składników jako odczynników chemicznych.</w:t>
      </w:r>
    </w:p>
    <w:p w:rsidR="00B1146D" w:rsidRDefault="00717A52">
      <w:pPr>
        <w:spacing w:after="0"/>
      </w:pPr>
      <w:r>
        <w:rPr>
          <w:color w:val="000000"/>
          <w:vertAlign w:val="superscript"/>
        </w:rPr>
        <w:t>***</w:t>
      </w:r>
      <w:r>
        <w:rPr>
          <w:color w:val="000000"/>
        </w:rPr>
        <w:t> Pozycja ta obejmuje oczyszczanie gruntu prowadzące do odzysku gruntu i recykling nieorganicznych materiałów budowlanych.</w:t>
      </w:r>
    </w:p>
    <w:p w:rsidR="00B1146D" w:rsidRDefault="00717A52">
      <w:pPr>
        <w:spacing w:after="0"/>
      </w:pPr>
      <w:r>
        <w:rPr>
          <w:color w:val="000000"/>
          <w:vertAlign w:val="superscript"/>
        </w:rPr>
        <w:t>****</w:t>
      </w:r>
      <w:r>
        <w:rPr>
          <w:color w:val="000000"/>
        </w:rPr>
        <w:t xml:space="preserve"> Jeżeli nie istnieje inny </w:t>
      </w:r>
      <w:r>
        <w:rPr>
          <w:color w:val="000000"/>
        </w:rPr>
        <w:t xml:space="preserve">właściwy kod D, może to obejmować procesy wstępne poprzedzające przetwarzanie wstępne odpadów, jak np. demontaż, sortowanie, kruszenie, zagęszczanie, granulację, suszenie, rozdrabnianie, kondycjonowanie, przepakowywanie, separację, tworzenie mieszanek lub </w:t>
      </w:r>
      <w:r>
        <w:rPr>
          <w:color w:val="000000"/>
        </w:rPr>
        <w:t>mieszanie przed poddaniem któremukolwiek z procesów wymienionych w punktach R1-R11.</w:t>
      </w:r>
    </w:p>
    <w:p w:rsidR="00B1146D" w:rsidRDefault="00717A52">
      <w:pPr>
        <w:spacing w:after="0"/>
      </w:pPr>
      <w:r>
        <w:rPr>
          <w:color w:val="000000"/>
          <w:vertAlign w:val="superscript"/>
        </w:rPr>
        <w:t>*****</w:t>
      </w:r>
      <w:r>
        <w:rPr>
          <w:color w:val="000000"/>
        </w:rPr>
        <w:t> Tymczasowe magazynowanie oznacza wstępne magazynowanie zgodne z art. 3 pkt 10.</w:t>
      </w:r>
    </w:p>
    <w:p w:rsidR="00B1146D" w:rsidRDefault="00717A52">
      <w:pPr>
        <w:spacing w:after="0"/>
      </w:pPr>
      <w:r>
        <w:rPr>
          <w:color w:val="000000"/>
          <w:vertAlign w:val="superscript"/>
        </w:rPr>
        <w:t>29</w:t>
      </w:r>
      <w:r>
        <w:rPr>
          <w:color w:val="000000"/>
        </w:rPr>
        <w:t> Załącznik III zmieniony przez art. 1 rozporządzenia nr 1357/2014 z dnia 18 grudnia 2</w:t>
      </w:r>
      <w:r>
        <w:rPr>
          <w:color w:val="000000"/>
        </w:rPr>
        <w:t>014 r. (Dz.U.UE.L.2014.365.89) zmieniającego nin. dyrektywę z dniem 1 czerwca 2015 r.</w:t>
      </w:r>
    </w:p>
    <w:p w:rsidR="00B1146D" w:rsidRDefault="00717A52">
      <w:pPr>
        <w:spacing w:after="0"/>
      </w:pPr>
      <w:r>
        <w:rPr>
          <w:color w:val="000000"/>
          <w:vertAlign w:val="superscript"/>
        </w:rPr>
        <w:t>30</w:t>
      </w:r>
      <w:r>
        <w:rPr>
          <w:color w:val="000000"/>
        </w:rPr>
        <w:t> Lepkość kinematyczną określa się wyłącznie dla cieczy.</w:t>
      </w:r>
    </w:p>
    <w:p w:rsidR="00B1146D" w:rsidRDefault="00717A52">
      <w:pPr>
        <w:spacing w:after="0"/>
      </w:pPr>
      <w:r>
        <w:rPr>
          <w:color w:val="000000"/>
          <w:vertAlign w:val="superscript"/>
        </w:rPr>
        <w:t>31</w:t>
      </w:r>
      <w:r>
        <w:rPr>
          <w:color w:val="000000"/>
        </w:rPr>
        <w:t> </w:t>
      </w:r>
      <w:r>
        <w:rPr>
          <w:color w:val="1B1B1B"/>
        </w:rPr>
        <w:t>Rozporządzenie</w:t>
      </w:r>
      <w:r>
        <w:rPr>
          <w:color w:val="000000"/>
        </w:rPr>
        <w:t xml:space="preserve"> Komisji (WE) nr 440/2008 z dnia 30 maja 2008 r. ustalające metody badań zgodnie z rozporządzen</w:t>
      </w:r>
      <w:r>
        <w:rPr>
          <w:color w:val="000000"/>
        </w:rPr>
        <w:t>iem (WE) nr 1907-/2006 Parlamentu Europejskiego i Rady w sprawie rejestracji, oceny, udzielania zezwoleń i stosowanych ograniczeń w zakresie chemikaliów (REACH) (Dz.U. L 142 z 31.5.2008, s. 1).</w:t>
      </w:r>
    </w:p>
    <w:sectPr w:rsidR="00B1146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4DCB"/>
    <w:multiLevelType w:val="multilevel"/>
    <w:tmpl w:val="3D8ECD1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6D"/>
    <w:rsid w:val="00717A52"/>
    <w:rsid w:val="00B11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6E8DB-BF1F-40A4-97F9-4E9CE9BB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16467</Words>
  <Characters>98805</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Józefacka</dc:creator>
  <cp:lastModifiedBy>Agnieszka Józefacka</cp:lastModifiedBy>
  <cp:revision>2</cp:revision>
  <dcterms:created xsi:type="dcterms:W3CDTF">2018-07-04T12:39:00Z</dcterms:created>
  <dcterms:modified xsi:type="dcterms:W3CDTF">2018-07-04T12:39:00Z</dcterms:modified>
</cp:coreProperties>
</file>