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64CFC" w14:textId="77777777" w:rsidR="00386EF2" w:rsidRDefault="001755D7" w:rsidP="00961652">
      <w:pPr>
        <w:pStyle w:val="Tytu"/>
      </w:pPr>
      <w:r>
        <w:t xml:space="preserve">komunikat </w:t>
      </w:r>
      <w:r w:rsidR="00961652">
        <w:t xml:space="preserve">nr </w:t>
      </w:r>
      <w:r w:rsidR="00220C54">
        <w:t>16</w:t>
      </w:r>
    </w:p>
    <w:p w14:paraId="59043EA1" w14:textId="77777777" w:rsidR="00507D49" w:rsidRDefault="00507D49" w:rsidP="00E437A8">
      <w:pPr>
        <w:pStyle w:val="Podtytu"/>
      </w:pPr>
      <w:r>
        <w:t xml:space="preserve">Rektora Zachodniopomorskiego </w:t>
      </w:r>
      <w:r w:rsidRPr="00E437A8">
        <w:t>Uniwersytetu</w:t>
      </w:r>
      <w:r>
        <w:t xml:space="preserve"> Technologicznego w Szczecinie</w:t>
      </w:r>
    </w:p>
    <w:p w14:paraId="12E39396" w14:textId="77777777" w:rsidR="00507D49" w:rsidRDefault="00507D49" w:rsidP="00507D49">
      <w:pPr>
        <w:pStyle w:val="data"/>
      </w:pPr>
      <w:r>
        <w:t xml:space="preserve">z dnia </w:t>
      </w:r>
      <w:r w:rsidR="00D539C9">
        <w:t>10</w:t>
      </w:r>
      <w:r w:rsidR="00220C54">
        <w:t xml:space="preserve"> maja 2022 r.</w:t>
      </w:r>
    </w:p>
    <w:p w14:paraId="3FA1A6F3" w14:textId="77777777" w:rsidR="00507D49" w:rsidRDefault="001755D7" w:rsidP="00220C54">
      <w:pPr>
        <w:pStyle w:val="Nagwek1"/>
        <w:spacing w:before="240" w:after="240"/>
      </w:pPr>
      <w:r>
        <w:t xml:space="preserve">o </w:t>
      </w:r>
      <w:r w:rsidR="0041402E">
        <w:t>ustalaniu wysokości odsetek ustawowych za opóźnienie</w:t>
      </w:r>
    </w:p>
    <w:p w14:paraId="378EA0BA" w14:textId="77777777" w:rsidR="00307AD4" w:rsidRDefault="00A50297" w:rsidP="00C649FC">
      <w:pPr>
        <w:pStyle w:val="podstawaprawna"/>
        <w:spacing w:after="60"/>
      </w:pPr>
      <w:r>
        <w:t>Na podstawie art. 23</w:t>
      </w:r>
      <w:r w:rsidR="00507D49">
        <w:t xml:space="preserve"> ustawy z dnia 20 lipca 2018 r. Prawo o szkolnictwie wyższym i nauce (</w:t>
      </w:r>
      <w:r w:rsidR="00AB6653">
        <w:t xml:space="preserve">tekst jedn. </w:t>
      </w:r>
      <w:r w:rsidR="00507D49">
        <w:t xml:space="preserve">Dz. U. </w:t>
      </w:r>
      <w:r w:rsidR="00AB6653">
        <w:t>z 202</w:t>
      </w:r>
      <w:r w:rsidR="00220C54">
        <w:t>2</w:t>
      </w:r>
      <w:r w:rsidR="00AB6653">
        <w:t xml:space="preserve"> r. </w:t>
      </w:r>
      <w:r w:rsidR="00507D49">
        <w:t xml:space="preserve">poz. </w:t>
      </w:r>
      <w:r w:rsidR="00220C54">
        <w:t>574</w:t>
      </w:r>
      <w:r w:rsidR="00C649FC">
        <w:t>, z późn. zm.</w:t>
      </w:r>
      <w:r w:rsidR="00507D49">
        <w:t>)</w:t>
      </w:r>
      <w:r w:rsidR="00A91089">
        <w:t xml:space="preserve"> </w:t>
      </w:r>
      <w:r w:rsidR="00327FCD">
        <w:t xml:space="preserve">w związku z </w:t>
      </w:r>
      <w:r w:rsidR="00327FCD" w:rsidRPr="008015F7">
        <w:rPr>
          <w:color w:val="000000" w:themeColor="text1"/>
        </w:rPr>
        <w:t>podwyższeniem</w:t>
      </w:r>
      <w:r w:rsidR="0041402E">
        <w:t xml:space="preserve"> przez Radę Polityki Pieniężnej (dalej: RPP) stopy referencyjnej</w:t>
      </w:r>
      <w:r w:rsidR="006C44E6" w:rsidRPr="00A50297">
        <w:t xml:space="preserve"> </w:t>
      </w:r>
      <w:r w:rsidR="001755D7" w:rsidRPr="00A50297">
        <w:t>informuje się</w:t>
      </w:r>
      <w:r w:rsidR="0041402E">
        <w:t>, że</w:t>
      </w:r>
      <w:r w:rsidR="00C649FC">
        <w:t>:</w:t>
      </w:r>
      <w:r w:rsidR="0041402E">
        <w:t xml:space="preserve"> </w:t>
      </w:r>
    </w:p>
    <w:p w14:paraId="75B8E159" w14:textId="23270678" w:rsidR="00507D49" w:rsidRDefault="00307AD4" w:rsidP="004238FE">
      <w:pPr>
        <w:pStyle w:val="Akapitzlist"/>
        <w:numPr>
          <w:ilvl w:val="0"/>
          <w:numId w:val="25"/>
        </w:numPr>
        <w:spacing w:line="257" w:lineRule="auto"/>
        <w:ind w:left="340" w:hanging="340"/>
        <w:contextualSpacing/>
      </w:pPr>
      <w:r>
        <w:t>O</w:t>
      </w:r>
      <w:r w:rsidR="0041402E">
        <w:t xml:space="preserve">dsetki </w:t>
      </w:r>
      <w:r w:rsidR="0041402E" w:rsidRPr="00307AD4">
        <w:rPr>
          <w:szCs w:val="24"/>
        </w:rPr>
        <w:t>ustawowe</w:t>
      </w:r>
      <w:r w:rsidR="0041402E">
        <w:t xml:space="preserve"> za opóźnienie ustalane są w</w:t>
      </w:r>
      <w:r w:rsidR="00A366DF">
        <w:t xml:space="preserve"> </w:t>
      </w:r>
      <w:r w:rsidR="0041402E">
        <w:t>następujący sposób</w:t>
      </w:r>
      <w:r w:rsidR="00605389" w:rsidRPr="00A50297">
        <w:t>:</w:t>
      </w:r>
    </w:p>
    <w:p w14:paraId="50AA151B" w14:textId="77777777" w:rsidR="0041402E" w:rsidRDefault="0041402E" w:rsidP="00307AD4">
      <w:pPr>
        <w:pStyle w:val="Akapitzlist"/>
        <w:numPr>
          <w:ilvl w:val="0"/>
          <w:numId w:val="24"/>
        </w:numPr>
        <w:spacing w:line="257" w:lineRule="auto"/>
        <w:ind w:left="680" w:hanging="340"/>
        <w:contextualSpacing/>
        <w:rPr>
          <w:szCs w:val="24"/>
        </w:rPr>
      </w:pPr>
      <w:r>
        <w:rPr>
          <w:szCs w:val="24"/>
        </w:rPr>
        <w:t xml:space="preserve">w stosunkach z osobami fizycznymi, w tym studentami, niebędącymi przedsiębiorcami </w:t>
      </w:r>
      <w:r w:rsidR="00C649FC">
        <w:rPr>
          <w:szCs w:val="24"/>
        </w:rPr>
        <w:t>–</w:t>
      </w:r>
      <w:r>
        <w:rPr>
          <w:szCs w:val="24"/>
        </w:rPr>
        <w:t xml:space="preserve"> w</w:t>
      </w:r>
      <w:r w:rsidR="00C649FC">
        <w:rPr>
          <w:szCs w:val="24"/>
        </w:rPr>
        <w:t> </w:t>
      </w:r>
      <w:r>
        <w:rPr>
          <w:szCs w:val="24"/>
        </w:rPr>
        <w:t>wysokości równej sumie stopy referencyjnej Narodowego Banku Polskiego (dalej: NBP) i</w:t>
      </w:r>
      <w:r w:rsidR="00100E9F">
        <w:rPr>
          <w:szCs w:val="24"/>
        </w:rPr>
        <w:t> </w:t>
      </w:r>
      <w:r>
        <w:rPr>
          <w:szCs w:val="24"/>
        </w:rPr>
        <w:t>5,5 punktów procentowych</w:t>
      </w:r>
      <w:r w:rsidR="00C649FC">
        <w:rPr>
          <w:szCs w:val="24"/>
        </w:rPr>
        <w:t>;</w:t>
      </w:r>
    </w:p>
    <w:p w14:paraId="27F89DBA" w14:textId="77777777" w:rsidR="0041402E" w:rsidRDefault="0041402E" w:rsidP="00307AD4">
      <w:pPr>
        <w:pStyle w:val="Akapitzlist"/>
        <w:numPr>
          <w:ilvl w:val="0"/>
          <w:numId w:val="24"/>
        </w:numPr>
        <w:spacing w:line="257" w:lineRule="auto"/>
        <w:ind w:left="680" w:hanging="340"/>
        <w:contextualSpacing/>
        <w:rPr>
          <w:szCs w:val="24"/>
        </w:rPr>
      </w:pPr>
      <w:r>
        <w:rPr>
          <w:szCs w:val="24"/>
        </w:rPr>
        <w:t xml:space="preserve">w transakcjach handlowych w stosunkach z podmiotem publicznym będącym podmiotem leczniczym </w:t>
      </w:r>
      <w:r w:rsidR="00C649FC">
        <w:rPr>
          <w:szCs w:val="24"/>
        </w:rPr>
        <w:t>–</w:t>
      </w:r>
      <w:r>
        <w:rPr>
          <w:szCs w:val="24"/>
        </w:rPr>
        <w:t xml:space="preserve"> w wysokości równej sumie stopy referencyjnej NBP i 8 punktów procentowych</w:t>
      </w:r>
      <w:r w:rsidR="00C649FC">
        <w:rPr>
          <w:szCs w:val="24"/>
        </w:rPr>
        <w:t>;</w:t>
      </w:r>
    </w:p>
    <w:p w14:paraId="07C7B826" w14:textId="77777777" w:rsidR="0041402E" w:rsidRPr="00307AD4" w:rsidRDefault="0041402E" w:rsidP="00307AD4">
      <w:pPr>
        <w:pStyle w:val="Akapitzlist"/>
        <w:numPr>
          <w:ilvl w:val="0"/>
          <w:numId w:val="24"/>
        </w:numPr>
        <w:spacing w:line="257" w:lineRule="auto"/>
        <w:ind w:left="680" w:hanging="340"/>
        <w:contextualSpacing/>
        <w:rPr>
          <w:spacing w:val="-4"/>
          <w:szCs w:val="24"/>
        </w:rPr>
      </w:pPr>
      <w:r>
        <w:rPr>
          <w:szCs w:val="24"/>
        </w:rPr>
        <w:t xml:space="preserve">w transakcjach handlowych w stosunkach z podmiotem publicznym niebędącym pomiotem </w:t>
      </w:r>
      <w:r w:rsidRPr="00307AD4">
        <w:rPr>
          <w:spacing w:val="-4"/>
          <w:szCs w:val="24"/>
        </w:rPr>
        <w:t xml:space="preserve">leczniczym </w:t>
      </w:r>
      <w:r w:rsidR="00C649FC" w:rsidRPr="00307AD4">
        <w:rPr>
          <w:spacing w:val="-4"/>
          <w:szCs w:val="24"/>
        </w:rPr>
        <w:t>–</w:t>
      </w:r>
      <w:r w:rsidRPr="00307AD4">
        <w:rPr>
          <w:spacing w:val="-4"/>
          <w:szCs w:val="24"/>
        </w:rPr>
        <w:t xml:space="preserve"> w wysokości równej sumie stopy referencyjnej NBP i 10 punktów procentowych</w:t>
      </w:r>
      <w:r w:rsidR="00C649FC" w:rsidRPr="00307AD4">
        <w:rPr>
          <w:spacing w:val="-4"/>
          <w:szCs w:val="24"/>
        </w:rPr>
        <w:t>.</w:t>
      </w:r>
    </w:p>
    <w:p w14:paraId="13F03989" w14:textId="77777777" w:rsidR="0041402E" w:rsidRDefault="0041402E" w:rsidP="004238FE">
      <w:pPr>
        <w:pStyle w:val="Akapitzlist"/>
        <w:numPr>
          <w:ilvl w:val="0"/>
          <w:numId w:val="25"/>
        </w:numPr>
        <w:spacing w:before="60" w:line="257" w:lineRule="auto"/>
        <w:ind w:left="340" w:hanging="340"/>
        <w:rPr>
          <w:szCs w:val="24"/>
        </w:rPr>
      </w:pPr>
      <w:r>
        <w:rPr>
          <w:szCs w:val="24"/>
        </w:rPr>
        <w:t>Wysokość odsetek za opóźnienie uzależniona jest od wysokości stopy referencyjnej NBP, którą ustala RPP i ogłasza m.in. na stronie internetowej NBP. Stopa referencyjna wynosi:</w:t>
      </w:r>
    </w:p>
    <w:p w14:paraId="01DC0B4C" w14:textId="77777777" w:rsidR="0041402E" w:rsidRPr="008015F7" w:rsidRDefault="00307AD4" w:rsidP="0041402E">
      <w:pPr>
        <w:pStyle w:val="Akapitzlist"/>
        <w:ind w:left="340"/>
        <w:rPr>
          <w:color w:val="000000" w:themeColor="text1"/>
          <w:szCs w:val="24"/>
        </w:rPr>
      </w:pPr>
      <w:r w:rsidRPr="008015F7">
        <w:rPr>
          <w:color w:val="000000" w:themeColor="text1"/>
          <w:szCs w:val="24"/>
        </w:rPr>
        <w:t>–</w:t>
      </w:r>
      <w:r w:rsidR="0041402E" w:rsidRPr="008015F7">
        <w:rPr>
          <w:color w:val="000000" w:themeColor="text1"/>
          <w:szCs w:val="24"/>
        </w:rPr>
        <w:t xml:space="preserve"> od 1 stycznia 2020 r. </w:t>
      </w:r>
      <w:r w:rsidR="00D754E4" w:rsidRPr="008015F7">
        <w:rPr>
          <w:color w:val="000000" w:themeColor="text1"/>
          <w:szCs w:val="24"/>
        </w:rPr>
        <w:t>–</w:t>
      </w:r>
      <w:r w:rsidR="0041402E" w:rsidRPr="008015F7">
        <w:rPr>
          <w:color w:val="000000" w:themeColor="text1"/>
          <w:szCs w:val="24"/>
        </w:rPr>
        <w:t xml:space="preserve"> 1,50%,</w:t>
      </w:r>
    </w:p>
    <w:p w14:paraId="71AA23DF" w14:textId="77777777" w:rsidR="0041402E" w:rsidRPr="008015F7" w:rsidRDefault="00307AD4" w:rsidP="0041402E">
      <w:pPr>
        <w:pStyle w:val="Akapitzlist"/>
        <w:ind w:left="340"/>
        <w:rPr>
          <w:color w:val="000000" w:themeColor="text1"/>
          <w:szCs w:val="24"/>
        </w:rPr>
      </w:pPr>
      <w:r w:rsidRPr="008015F7">
        <w:rPr>
          <w:color w:val="000000" w:themeColor="text1"/>
          <w:szCs w:val="24"/>
        </w:rPr>
        <w:t>–</w:t>
      </w:r>
      <w:r w:rsidR="0041402E" w:rsidRPr="008015F7">
        <w:rPr>
          <w:color w:val="000000" w:themeColor="text1"/>
          <w:szCs w:val="24"/>
        </w:rPr>
        <w:t xml:space="preserve"> od 18 marca 2020 r. </w:t>
      </w:r>
      <w:r w:rsidR="00D754E4" w:rsidRPr="008015F7">
        <w:rPr>
          <w:color w:val="000000" w:themeColor="text1"/>
          <w:szCs w:val="24"/>
        </w:rPr>
        <w:t>–</w:t>
      </w:r>
      <w:r w:rsidR="0041402E" w:rsidRPr="008015F7">
        <w:rPr>
          <w:color w:val="000000" w:themeColor="text1"/>
          <w:szCs w:val="24"/>
        </w:rPr>
        <w:t xml:space="preserve"> 1,00%,</w:t>
      </w:r>
    </w:p>
    <w:p w14:paraId="272F03DF" w14:textId="77777777" w:rsidR="00CB6293" w:rsidRPr="008015F7" w:rsidRDefault="00307AD4" w:rsidP="0041402E">
      <w:pPr>
        <w:pStyle w:val="Akapitzlist"/>
        <w:ind w:left="340"/>
        <w:rPr>
          <w:color w:val="000000" w:themeColor="text1"/>
          <w:szCs w:val="24"/>
        </w:rPr>
      </w:pPr>
      <w:r w:rsidRPr="008015F7">
        <w:rPr>
          <w:color w:val="000000" w:themeColor="text1"/>
          <w:szCs w:val="24"/>
        </w:rPr>
        <w:t>–</w:t>
      </w:r>
      <w:r w:rsidR="0041402E" w:rsidRPr="008015F7">
        <w:rPr>
          <w:color w:val="000000" w:themeColor="text1"/>
          <w:szCs w:val="24"/>
        </w:rPr>
        <w:t xml:space="preserve"> od 9 kwietnia 2020 r. - 0,5</w:t>
      </w:r>
      <w:r w:rsidR="00CB6293" w:rsidRPr="008015F7">
        <w:rPr>
          <w:color w:val="000000" w:themeColor="text1"/>
          <w:szCs w:val="24"/>
        </w:rPr>
        <w:t>0</w:t>
      </w:r>
      <w:r w:rsidR="0041402E" w:rsidRPr="008015F7">
        <w:rPr>
          <w:color w:val="000000" w:themeColor="text1"/>
          <w:szCs w:val="24"/>
        </w:rPr>
        <w:t>%</w:t>
      </w:r>
      <w:r w:rsidR="00CB6293" w:rsidRPr="008015F7">
        <w:rPr>
          <w:color w:val="000000" w:themeColor="text1"/>
          <w:szCs w:val="24"/>
        </w:rPr>
        <w:t>,</w:t>
      </w:r>
    </w:p>
    <w:p w14:paraId="51B4551B" w14:textId="77777777" w:rsidR="0041402E" w:rsidRPr="008015F7" w:rsidRDefault="00CB6293" w:rsidP="0041402E">
      <w:pPr>
        <w:pStyle w:val="Akapitzlist"/>
        <w:ind w:left="340"/>
        <w:rPr>
          <w:color w:val="000000" w:themeColor="text1"/>
          <w:szCs w:val="24"/>
        </w:rPr>
      </w:pPr>
      <w:r w:rsidRPr="008015F7">
        <w:rPr>
          <w:color w:val="000000" w:themeColor="text1"/>
          <w:szCs w:val="24"/>
        </w:rPr>
        <w:t>– od 29 maja 2020 r. – 0,10%</w:t>
      </w:r>
      <w:r w:rsidR="00327FCD" w:rsidRPr="008015F7">
        <w:rPr>
          <w:color w:val="000000" w:themeColor="text1"/>
          <w:szCs w:val="24"/>
        </w:rPr>
        <w:t>,</w:t>
      </w:r>
    </w:p>
    <w:p w14:paraId="0E31D783" w14:textId="77777777" w:rsidR="00327FCD" w:rsidRDefault="00220C54" w:rsidP="0041402E">
      <w:pPr>
        <w:pStyle w:val="Akapitzlist"/>
        <w:ind w:left="340"/>
        <w:rPr>
          <w:szCs w:val="24"/>
        </w:rPr>
      </w:pPr>
      <w:r>
        <w:rPr>
          <w:szCs w:val="24"/>
        </w:rPr>
        <w:t>–</w:t>
      </w:r>
      <w:r w:rsidR="00327FCD">
        <w:rPr>
          <w:szCs w:val="24"/>
        </w:rPr>
        <w:t xml:space="preserve"> od 07 października 2021 r. – 0,50%</w:t>
      </w:r>
      <w:r w:rsidR="00386EF2">
        <w:rPr>
          <w:szCs w:val="24"/>
        </w:rPr>
        <w:t>,</w:t>
      </w:r>
    </w:p>
    <w:p w14:paraId="292562E1" w14:textId="77777777" w:rsidR="00327FCD" w:rsidRDefault="00220C54" w:rsidP="0041402E">
      <w:pPr>
        <w:pStyle w:val="Akapitzlist"/>
        <w:ind w:left="340"/>
        <w:rPr>
          <w:szCs w:val="24"/>
        </w:rPr>
      </w:pPr>
      <w:r>
        <w:rPr>
          <w:szCs w:val="24"/>
        </w:rPr>
        <w:t>–</w:t>
      </w:r>
      <w:r w:rsidR="00327FCD">
        <w:rPr>
          <w:szCs w:val="24"/>
        </w:rPr>
        <w:t xml:space="preserve"> </w:t>
      </w:r>
      <w:r w:rsidR="00720974">
        <w:rPr>
          <w:szCs w:val="24"/>
        </w:rPr>
        <w:t>od 04 listopada 2021 r. – 1,25%</w:t>
      </w:r>
      <w:r w:rsidR="00386EF2">
        <w:rPr>
          <w:szCs w:val="24"/>
        </w:rPr>
        <w:t>,</w:t>
      </w:r>
    </w:p>
    <w:p w14:paraId="1A4F249D" w14:textId="77777777" w:rsidR="00720974" w:rsidRDefault="00220C54" w:rsidP="0041402E">
      <w:pPr>
        <w:pStyle w:val="Akapitzlist"/>
        <w:ind w:left="340"/>
        <w:rPr>
          <w:szCs w:val="24"/>
        </w:rPr>
      </w:pPr>
      <w:r>
        <w:rPr>
          <w:szCs w:val="24"/>
        </w:rPr>
        <w:t>–</w:t>
      </w:r>
      <w:r w:rsidR="00386EF2">
        <w:rPr>
          <w:szCs w:val="24"/>
        </w:rPr>
        <w:t xml:space="preserve"> od 09 grudnia 2021 r. – 1,75%,</w:t>
      </w:r>
    </w:p>
    <w:p w14:paraId="693C4A76" w14:textId="77777777" w:rsidR="00386EF2" w:rsidRDefault="00220C54" w:rsidP="0041402E">
      <w:pPr>
        <w:pStyle w:val="Akapitzlist"/>
        <w:ind w:left="340"/>
        <w:rPr>
          <w:szCs w:val="24"/>
        </w:rPr>
      </w:pPr>
      <w:r>
        <w:rPr>
          <w:szCs w:val="24"/>
        </w:rPr>
        <w:t>–</w:t>
      </w:r>
      <w:r w:rsidR="00FA3429">
        <w:rPr>
          <w:szCs w:val="24"/>
        </w:rPr>
        <w:t xml:space="preserve"> od 05 stycznia 2022 r. – 2,25%</w:t>
      </w:r>
    </w:p>
    <w:p w14:paraId="4901903F" w14:textId="77777777" w:rsidR="00FA3429" w:rsidRDefault="00220C54" w:rsidP="0041402E">
      <w:pPr>
        <w:pStyle w:val="Akapitzlist"/>
        <w:ind w:left="340"/>
        <w:rPr>
          <w:szCs w:val="24"/>
        </w:rPr>
      </w:pPr>
      <w:r>
        <w:rPr>
          <w:szCs w:val="24"/>
        </w:rPr>
        <w:t>–</w:t>
      </w:r>
      <w:r w:rsidR="00FA3429">
        <w:rPr>
          <w:szCs w:val="24"/>
        </w:rPr>
        <w:t xml:space="preserve"> od 09 lutego 2022 r. – 2,75</w:t>
      </w:r>
      <w:r w:rsidR="00032E08">
        <w:rPr>
          <w:szCs w:val="24"/>
        </w:rPr>
        <w:t>%</w:t>
      </w:r>
    </w:p>
    <w:p w14:paraId="5C0792A2" w14:textId="77777777" w:rsidR="00032E08" w:rsidRDefault="00220C54" w:rsidP="0041402E">
      <w:pPr>
        <w:pStyle w:val="Akapitzlist"/>
        <w:ind w:left="340"/>
        <w:rPr>
          <w:szCs w:val="24"/>
        </w:rPr>
      </w:pPr>
      <w:r>
        <w:rPr>
          <w:szCs w:val="24"/>
        </w:rPr>
        <w:t>–</w:t>
      </w:r>
      <w:r w:rsidR="00692161">
        <w:rPr>
          <w:szCs w:val="24"/>
        </w:rPr>
        <w:t xml:space="preserve"> od 09 marca 2022 r. – 3,50%</w:t>
      </w:r>
    </w:p>
    <w:p w14:paraId="29913136" w14:textId="77777777" w:rsidR="00692161" w:rsidRDefault="00220C54" w:rsidP="0041402E">
      <w:pPr>
        <w:pStyle w:val="Akapitzlist"/>
        <w:ind w:left="340"/>
        <w:rPr>
          <w:szCs w:val="24"/>
        </w:rPr>
      </w:pPr>
      <w:r>
        <w:rPr>
          <w:szCs w:val="24"/>
        </w:rPr>
        <w:t>–</w:t>
      </w:r>
      <w:r w:rsidR="00692161">
        <w:rPr>
          <w:szCs w:val="24"/>
        </w:rPr>
        <w:t xml:space="preserve"> od 07 kwietnia 2022 r. – </w:t>
      </w:r>
      <w:r w:rsidR="00F10262">
        <w:rPr>
          <w:szCs w:val="24"/>
        </w:rPr>
        <w:t>4,50%</w:t>
      </w:r>
    </w:p>
    <w:p w14:paraId="4219AEB9" w14:textId="77777777" w:rsidR="00F10262" w:rsidRDefault="00220C54" w:rsidP="0041402E">
      <w:pPr>
        <w:pStyle w:val="Akapitzlist"/>
        <w:ind w:left="340"/>
        <w:rPr>
          <w:szCs w:val="24"/>
        </w:rPr>
      </w:pPr>
      <w:r>
        <w:rPr>
          <w:szCs w:val="24"/>
        </w:rPr>
        <w:t>–</w:t>
      </w:r>
      <w:r w:rsidR="00F10262">
        <w:rPr>
          <w:szCs w:val="24"/>
        </w:rPr>
        <w:t xml:space="preserve"> od 06 maja 2022 r. – 5,25%.</w:t>
      </w:r>
    </w:p>
    <w:p w14:paraId="6E50BB55" w14:textId="77777777" w:rsidR="0041402E" w:rsidRPr="008015F7" w:rsidRDefault="0041402E" w:rsidP="004238FE">
      <w:pPr>
        <w:pStyle w:val="Akapitzlist"/>
        <w:numPr>
          <w:ilvl w:val="0"/>
          <w:numId w:val="25"/>
        </w:numPr>
        <w:spacing w:before="60" w:line="257" w:lineRule="auto"/>
        <w:ind w:left="340" w:hanging="340"/>
        <w:rPr>
          <w:color w:val="000000" w:themeColor="text1"/>
          <w:szCs w:val="24"/>
        </w:rPr>
      </w:pPr>
      <w:r>
        <w:rPr>
          <w:szCs w:val="24"/>
        </w:rPr>
        <w:t xml:space="preserve">Odsetki za opóźnienie w stosunkach z osobami fizycznymi, w tym studentami, niebędącymi </w:t>
      </w:r>
      <w:r w:rsidRPr="008015F7">
        <w:rPr>
          <w:color w:val="000000" w:themeColor="text1"/>
          <w:szCs w:val="24"/>
        </w:rPr>
        <w:t>przedsiębiorcami wynoszą:</w:t>
      </w:r>
    </w:p>
    <w:p w14:paraId="2A2F9AB3" w14:textId="77777777" w:rsidR="0041402E" w:rsidRPr="008015F7" w:rsidRDefault="0041402E" w:rsidP="004238FE">
      <w:pPr>
        <w:pStyle w:val="Akapitzlist"/>
        <w:numPr>
          <w:ilvl w:val="1"/>
          <w:numId w:val="26"/>
        </w:numPr>
        <w:spacing w:line="257" w:lineRule="auto"/>
        <w:ind w:left="680" w:hanging="340"/>
        <w:contextualSpacing/>
        <w:rPr>
          <w:color w:val="000000" w:themeColor="text1"/>
          <w:szCs w:val="24"/>
        </w:rPr>
      </w:pPr>
      <w:r w:rsidRPr="008015F7">
        <w:rPr>
          <w:color w:val="000000" w:themeColor="text1"/>
          <w:szCs w:val="24"/>
        </w:rPr>
        <w:t xml:space="preserve">od 1 stycznia 2020 r. </w:t>
      </w:r>
      <w:r w:rsidR="00307AD4" w:rsidRPr="008015F7">
        <w:rPr>
          <w:color w:val="000000" w:themeColor="text1"/>
          <w:szCs w:val="24"/>
        </w:rPr>
        <w:t>–</w:t>
      </w:r>
      <w:r w:rsidR="00FC0422" w:rsidRPr="008015F7">
        <w:rPr>
          <w:color w:val="000000" w:themeColor="text1"/>
          <w:szCs w:val="24"/>
        </w:rPr>
        <w:t xml:space="preserve"> </w:t>
      </w:r>
      <w:r w:rsidRPr="008015F7">
        <w:rPr>
          <w:color w:val="000000" w:themeColor="text1"/>
          <w:szCs w:val="24"/>
        </w:rPr>
        <w:t>7% w skali roku,</w:t>
      </w:r>
    </w:p>
    <w:p w14:paraId="7F4E9160" w14:textId="77777777" w:rsidR="0041402E" w:rsidRPr="008015F7" w:rsidRDefault="0041402E" w:rsidP="004238FE">
      <w:pPr>
        <w:pStyle w:val="Akapitzlist"/>
        <w:numPr>
          <w:ilvl w:val="1"/>
          <w:numId w:val="26"/>
        </w:numPr>
        <w:spacing w:line="257" w:lineRule="auto"/>
        <w:ind w:left="680" w:hanging="340"/>
        <w:contextualSpacing/>
        <w:rPr>
          <w:color w:val="000000" w:themeColor="text1"/>
          <w:szCs w:val="24"/>
        </w:rPr>
      </w:pPr>
      <w:r w:rsidRPr="008015F7">
        <w:rPr>
          <w:color w:val="000000" w:themeColor="text1"/>
          <w:szCs w:val="24"/>
        </w:rPr>
        <w:t xml:space="preserve">od 18 marca 2020 r. </w:t>
      </w:r>
      <w:r w:rsidR="00307AD4" w:rsidRPr="008015F7">
        <w:rPr>
          <w:color w:val="000000" w:themeColor="text1"/>
          <w:szCs w:val="24"/>
        </w:rPr>
        <w:t>–</w:t>
      </w:r>
      <w:r w:rsidRPr="008015F7">
        <w:rPr>
          <w:color w:val="000000" w:themeColor="text1"/>
          <w:szCs w:val="24"/>
        </w:rPr>
        <w:t xml:space="preserve"> 6,5% w skali roku,</w:t>
      </w:r>
    </w:p>
    <w:p w14:paraId="042C139A" w14:textId="77777777" w:rsidR="00CB6293" w:rsidRPr="008015F7" w:rsidRDefault="0041402E" w:rsidP="004238FE">
      <w:pPr>
        <w:pStyle w:val="Akapitzlist"/>
        <w:numPr>
          <w:ilvl w:val="1"/>
          <w:numId w:val="26"/>
        </w:numPr>
        <w:spacing w:line="257" w:lineRule="auto"/>
        <w:ind w:left="680" w:hanging="340"/>
        <w:contextualSpacing/>
        <w:rPr>
          <w:color w:val="000000" w:themeColor="text1"/>
          <w:szCs w:val="24"/>
        </w:rPr>
      </w:pPr>
      <w:r w:rsidRPr="008015F7">
        <w:rPr>
          <w:color w:val="000000" w:themeColor="text1"/>
          <w:szCs w:val="24"/>
        </w:rPr>
        <w:t xml:space="preserve">od 9 kwietnia 2020 r. </w:t>
      </w:r>
      <w:r w:rsidR="00307AD4" w:rsidRPr="008015F7">
        <w:rPr>
          <w:color w:val="000000" w:themeColor="text1"/>
          <w:szCs w:val="24"/>
        </w:rPr>
        <w:t>–</w:t>
      </w:r>
      <w:r w:rsidRPr="008015F7">
        <w:rPr>
          <w:color w:val="000000" w:themeColor="text1"/>
          <w:szCs w:val="24"/>
        </w:rPr>
        <w:t xml:space="preserve"> 6,0% w skali roku</w:t>
      </w:r>
      <w:r w:rsidR="00CB6293" w:rsidRPr="008015F7">
        <w:rPr>
          <w:color w:val="000000" w:themeColor="text1"/>
          <w:szCs w:val="24"/>
        </w:rPr>
        <w:t>,</w:t>
      </w:r>
    </w:p>
    <w:p w14:paraId="29F8BB03" w14:textId="77777777" w:rsidR="0041402E" w:rsidRPr="008015F7" w:rsidRDefault="00CB6293" w:rsidP="004238FE">
      <w:pPr>
        <w:pStyle w:val="Akapitzlist"/>
        <w:numPr>
          <w:ilvl w:val="1"/>
          <w:numId w:val="26"/>
        </w:numPr>
        <w:spacing w:line="257" w:lineRule="auto"/>
        <w:ind w:left="680" w:hanging="340"/>
        <w:contextualSpacing/>
        <w:rPr>
          <w:color w:val="000000" w:themeColor="text1"/>
          <w:szCs w:val="24"/>
        </w:rPr>
      </w:pPr>
      <w:r w:rsidRPr="008015F7">
        <w:rPr>
          <w:color w:val="000000" w:themeColor="text1"/>
          <w:szCs w:val="24"/>
        </w:rPr>
        <w:t>od 29 maja 2020 r. – 5,6% w skali roku</w:t>
      </w:r>
      <w:r w:rsidR="00327FCD" w:rsidRPr="008015F7">
        <w:rPr>
          <w:color w:val="000000" w:themeColor="text1"/>
          <w:szCs w:val="24"/>
        </w:rPr>
        <w:t>,</w:t>
      </w:r>
    </w:p>
    <w:p w14:paraId="462B212E" w14:textId="77777777" w:rsidR="00327FCD" w:rsidRDefault="00327FCD" w:rsidP="004238FE">
      <w:pPr>
        <w:pStyle w:val="Akapitzlist"/>
        <w:numPr>
          <w:ilvl w:val="1"/>
          <w:numId w:val="26"/>
        </w:numPr>
        <w:spacing w:line="257" w:lineRule="auto"/>
        <w:ind w:left="680" w:hanging="340"/>
        <w:contextualSpacing/>
        <w:rPr>
          <w:szCs w:val="24"/>
        </w:rPr>
      </w:pPr>
      <w:r>
        <w:rPr>
          <w:szCs w:val="24"/>
        </w:rPr>
        <w:t>od 07 października 2021 r. – 6% w skali roku,</w:t>
      </w:r>
    </w:p>
    <w:p w14:paraId="7FA4B94C" w14:textId="77777777" w:rsidR="00327FCD" w:rsidRDefault="00327FCD" w:rsidP="004238FE">
      <w:pPr>
        <w:pStyle w:val="Akapitzlist"/>
        <w:numPr>
          <w:ilvl w:val="1"/>
          <w:numId w:val="26"/>
        </w:numPr>
        <w:spacing w:line="257" w:lineRule="auto"/>
        <w:ind w:left="680" w:hanging="340"/>
        <w:contextualSpacing/>
        <w:rPr>
          <w:szCs w:val="24"/>
        </w:rPr>
      </w:pPr>
      <w:r>
        <w:rPr>
          <w:szCs w:val="24"/>
        </w:rPr>
        <w:t>od 04 listopa</w:t>
      </w:r>
      <w:r w:rsidR="00720974">
        <w:rPr>
          <w:szCs w:val="24"/>
        </w:rPr>
        <w:t>da 2021 r. – 6,75% w skali roku,</w:t>
      </w:r>
    </w:p>
    <w:p w14:paraId="6D65A5C6" w14:textId="77777777" w:rsidR="00720974" w:rsidRDefault="00720974" w:rsidP="004238FE">
      <w:pPr>
        <w:pStyle w:val="Akapitzlist"/>
        <w:numPr>
          <w:ilvl w:val="1"/>
          <w:numId w:val="26"/>
        </w:numPr>
        <w:spacing w:line="257" w:lineRule="auto"/>
        <w:ind w:left="680" w:hanging="340"/>
        <w:contextualSpacing/>
        <w:rPr>
          <w:szCs w:val="24"/>
        </w:rPr>
      </w:pPr>
      <w:r>
        <w:rPr>
          <w:szCs w:val="24"/>
        </w:rPr>
        <w:t>od 09 grudn</w:t>
      </w:r>
      <w:r w:rsidR="00386EF2">
        <w:rPr>
          <w:szCs w:val="24"/>
        </w:rPr>
        <w:t>ia 2021 r. – 7,25% w skali roku,</w:t>
      </w:r>
    </w:p>
    <w:p w14:paraId="6F957EDC" w14:textId="77777777" w:rsidR="00386EF2" w:rsidRDefault="00386EF2" w:rsidP="004238FE">
      <w:pPr>
        <w:pStyle w:val="Akapitzlist"/>
        <w:numPr>
          <w:ilvl w:val="1"/>
          <w:numId w:val="26"/>
        </w:numPr>
        <w:spacing w:line="257" w:lineRule="auto"/>
        <w:ind w:left="680" w:hanging="340"/>
        <w:contextualSpacing/>
        <w:rPr>
          <w:szCs w:val="24"/>
        </w:rPr>
      </w:pPr>
      <w:r>
        <w:rPr>
          <w:szCs w:val="24"/>
        </w:rPr>
        <w:t>od 05 styczn</w:t>
      </w:r>
      <w:r w:rsidR="00793752">
        <w:rPr>
          <w:szCs w:val="24"/>
        </w:rPr>
        <w:t>ia 2022 r. – 7,75% w skali roku,</w:t>
      </w:r>
    </w:p>
    <w:p w14:paraId="5530A758" w14:textId="77777777" w:rsidR="00793752" w:rsidRDefault="00793752" w:rsidP="004238FE">
      <w:pPr>
        <w:pStyle w:val="Akapitzlist"/>
        <w:numPr>
          <w:ilvl w:val="1"/>
          <w:numId w:val="26"/>
        </w:numPr>
        <w:spacing w:line="257" w:lineRule="auto"/>
        <w:ind w:left="680" w:hanging="340"/>
        <w:contextualSpacing/>
        <w:rPr>
          <w:szCs w:val="24"/>
        </w:rPr>
      </w:pPr>
      <w:r>
        <w:rPr>
          <w:szCs w:val="24"/>
        </w:rPr>
        <w:t>od 09 luteg</w:t>
      </w:r>
      <w:r w:rsidR="00032E08">
        <w:rPr>
          <w:szCs w:val="24"/>
        </w:rPr>
        <w:t>o 2022 r. – 8,25 % w skali roku,</w:t>
      </w:r>
    </w:p>
    <w:p w14:paraId="4690CAB0" w14:textId="77777777" w:rsidR="00032E08" w:rsidRDefault="00032E08" w:rsidP="004238FE">
      <w:pPr>
        <w:pStyle w:val="Akapitzlist"/>
        <w:numPr>
          <w:ilvl w:val="1"/>
          <w:numId w:val="26"/>
        </w:numPr>
        <w:spacing w:line="257" w:lineRule="auto"/>
        <w:ind w:left="681" w:hanging="454"/>
        <w:contextualSpacing/>
        <w:rPr>
          <w:szCs w:val="24"/>
        </w:rPr>
      </w:pPr>
      <w:r>
        <w:rPr>
          <w:szCs w:val="24"/>
        </w:rPr>
        <w:t xml:space="preserve">od 09 </w:t>
      </w:r>
      <w:r w:rsidR="00692161">
        <w:rPr>
          <w:szCs w:val="24"/>
        </w:rPr>
        <w:t>marca 2022 r. – 9% w skali roku</w:t>
      </w:r>
      <w:r w:rsidR="00F10262">
        <w:rPr>
          <w:szCs w:val="24"/>
        </w:rPr>
        <w:t>,</w:t>
      </w:r>
    </w:p>
    <w:p w14:paraId="3BBC951C" w14:textId="0C1D95C3" w:rsidR="00692161" w:rsidRDefault="00692161" w:rsidP="004238FE">
      <w:pPr>
        <w:pStyle w:val="Akapitzlist"/>
        <w:numPr>
          <w:ilvl w:val="1"/>
          <w:numId w:val="26"/>
        </w:numPr>
        <w:spacing w:line="257" w:lineRule="auto"/>
        <w:ind w:left="681" w:hanging="454"/>
        <w:contextualSpacing/>
        <w:rPr>
          <w:szCs w:val="24"/>
        </w:rPr>
      </w:pPr>
      <w:r>
        <w:rPr>
          <w:szCs w:val="24"/>
        </w:rPr>
        <w:t>od 07 kwie</w:t>
      </w:r>
      <w:r w:rsidR="00F10262">
        <w:rPr>
          <w:szCs w:val="24"/>
        </w:rPr>
        <w:t>tnia 2022 r. – 10% w skali roku,</w:t>
      </w:r>
    </w:p>
    <w:p w14:paraId="4CB11E79" w14:textId="66071E2C" w:rsidR="00F10262" w:rsidRPr="00CB6293" w:rsidRDefault="00F10262" w:rsidP="004238FE">
      <w:pPr>
        <w:pStyle w:val="Akapitzlist"/>
        <w:numPr>
          <w:ilvl w:val="1"/>
          <w:numId w:val="26"/>
        </w:numPr>
        <w:spacing w:line="257" w:lineRule="auto"/>
        <w:ind w:left="681" w:hanging="454"/>
        <w:contextualSpacing/>
        <w:rPr>
          <w:szCs w:val="24"/>
        </w:rPr>
      </w:pPr>
      <w:r>
        <w:rPr>
          <w:szCs w:val="24"/>
        </w:rPr>
        <w:t>od 06 maja 2022 r. – 10,75% w skali roku.</w:t>
      </w:r>
    </w:p>
    <w:p w14:paraId="41EAF6DA" w14:textId="77777777" w:rsidR="0041402E" w:rsidRDefault="0041402E" w:rsidP="00A366DF">
      <w:pPr>
        <w:pStyle w:val="Akapitzlist"/>
        <w:keepNext/>
        <w:numPr>
          <w:ilvl w:val="0"/>
          <w:numId w:val="25"/>
        </w:numPr>
        <w:spacing w:before="60" w:line="257" w:lineRule="auto"/>
        <w:ind w:left="334" w:hanging="357"/>
        <w:rPr>
          <w:szCs w:val="24"/>
        </w:rPr>
      </w:pPr>
      <w:r>
        <w:rPr>
          <w:szCs w:val="24"/>
        </w:rPr>
        <w:lastRenderedPageBreak/>
        <w:t>Odsetki za opóźnienie w transakcjach handlowych wynoszą:</w:t>
      </w:r>
    </w:p>
    <w:p w14:paraId="6E0CDC70" w14:textId="77777777" w:rsidR="00FC0422" w:rsidRDefault="00FC0422" w:rsidP="00A366DF">
      <w:pPr>
        <w:pStyle w:val="Akapitzlist"/>
        <w:keepNext/>
        <w:numPr>
          <w:ilvl w:val="1"/>
          <w:numId w:val="27"/>
        </w:numPr>
        <w:spacing w:line="257" w:lineRule="auto"/>
        <w:ind w:left="697" w:hanging="357"/>
        <w:contextualSpacing/>
        <w:rPr>
          <w:szCs w:val="24"/>
        </w:rPr>
      </w:pPr>
      <w:r>
        <w:rPr>
          <w:szCs w:val="24"/>
        </w:rPr>
        <w:t>od 1 stycznia 2020 r.:</w:t>
      </w:r>
    </w:p>
    <w:p w14:paraId="7E71AD52" w14:textId="6FD14A4E" w:rsidR="0041402E" w:rsidRDefault="0041402E" w:rsidP="00A366DF">
      <w:pPr>
        <w:pStyle w:val="Akapitzlist"/>
        <w:keepNext/>
        <w:numPr>
          <w:ilvl w:val="0"/>
          <w:numId w:val="30"/>
        </w:numPr>
        <w:spacing w:line="256" w:lineRule="auto"/>
        <w:ind w:left="1040"/>
        <w:contextualSpacing/>
        <w:rPr>
          <w:szCs w:val="24"/>
        </w:rPr>
      </w:pPr>
      <w:r w:rsidRPr="00220C54">
        <w:rPr>
          <w:spacing w:val="-4"/>
          <w:szCs w:val="24"/>
        </w:rPr>
        <w:t>9,5% w skali roku – w stosunkach z podmiotem publicznym będącym podmiotem leczniczym,</w:t>
      </w:r>
    </w:p>
    <w:p w14:paraId="6A130DB6" w14:textId="1F2C2C8B" w:rsidR="00FC0422" w:rsidRDefault="00FC0422" w:rsidP="00A366DF">
      <w:pPr>
        <w:pStyle w:val="Akapitzlist"/>
        <w:keepNext/>
        <w:numPr>
          <w:ilvl w:val="0"/>
          <w:numId w:val="30"/>
        </w:numPr>
        <w:spacing w:line="256" w:lineRule="auto"/>
        <w:ind w:left="1040"/>
        <w:contextualSpacing/>
        <w:rPr>
          <w:spacing w:val="-6"/>
          <w:szCs w:val="24"/>
        </w:rPr>
      </w:pPr>
      <w:r w:rsidRPr="00307AD4">
        <w:rPr>
          <w:spacing w:val="-6"/>
          <w:szCs w:val="24"/>
        </w:rPr>
        <w:t>11,5% w skali roku – w stosunkach z podmiotem publicznym niebędącym pomiotem leczniczym</w:t>
      </w:r>
      <w:r>
        <w:rPr>
          <w:spacing w:val="-6"/>
          <w:szCs w:val="24"/>
        </w:rPr>
        <w:t>;</w:t>
      </w:r>
    </w:p>
    <w:p w14:paraId="7801E0BF" w14:textId="77777777" w:rsidR="00FC0422" w:rsidRDefault="00FC0422" w:rsidP="0041402E">
      <w:pPr>
        <w:pStyle w:val="Akapitzlist"/>
        <w:numPr>
          <w:ilvl w:val="1"/>
          <w:numId w:val="27"/>
        </w:numPr>
        <w:spacing w:line="256" w:lineRule="auto"/>
        <w:ind w:left="697" w:hanging="357"/>
        <w:contextualSpacing/>
        <w:rPr>
          <w:spacing w:val="-6"/>
          <w:szCs w:val="24"/>
        </w:rPr>
      </w:pPr>
      <w:r>
        <w:rPr>
          <w:spacing w:val="-6"/>
          <w:szCs w:val="24"/>
        </w:rPr>
        <w:t>od 1 lipca 2020 r.:</w:t>
      </w:r>
    </w:p>
    <w:p w14:paraId="7B17F339" w14:textId="6E4B27E9" w:rsidR="00FC0422" w:rsidRPr="00220C54" w:rsidRDefault="00FC0422" w:rsidP="00A366DF">
      <w:pPr>
        <w:pStyle w:val="Akapitzlist"/>
        <w:numPr>
          <w:ilvl w:val="0"/>
          <w:numId w:val="31"/>
        </w:numPr>
        <w:spacing w:line="256" w:lineRule="auto"/>
        <w:ind w:left="1040"/>
        <w:contextualSpacing/>
        <w:rPr>
          <w:spacing w:val="-4"/>
          <w:szCs w:val="24"/>
        </w:rPr>
      </w:pPr>
      <w:r w:rsidRPr="00220C54">
        <w:rPr>
          <w:spacing w:val="-4"/>
          <w:szCs w:val="24"/>
        </w:rPr>
        <w:t>8,1% w skali roku – w stosunkach z podmiotem publicznym będącym podmiotem leczniczym,</w:t>
      </w:r>
    </w:p>
    <w:p w14:paraId="60DACB04" w14:textId="4CD4348E" w:rsidR="00220C54" w:rsidRDefault="00FC0422" w:rsidP="00A366DF">
      <w:pPr>
        <w:pStyle w:val="Akapitzlist"/>
        <w:numPr>
          <w:ilvl w:val="0"/>
          <w:numId w:val="31"/>
        </w:numPr>
        <w:spacing w:line="256" w:lineRule="auto"/>
        <w:ind w:left="1040"/>
        <w:contextualSpacing/>
        <w:rPr>
          <w:spacing w:val="-6"/>
          <w:szCs w:val="24"/>
        </w:rPr>
      </w:pPr>
      <w:r w:rsidRPr="00307AD4">
        <w:rPr>
          <w:spacing w:val="-6"/>
          <w:szCs w:val="24"/>
        </w:rPr>
        <w:t>1</w:t>
      </w:r>
      <w:r>
        <w:rPr>
          <w:spacing w:val="-6"/>
          <w:szCs w:val="24"/>
        </w:rPr>
        <w:t>0,1</w:t>
      </w:r>
      <w:r w:rsidRPr="00307AD4">
        <w:rPr>
          <w:spacing w:val="-6"/>
          <w:szCs w:val="24"/>
        </w:rPr>
        <w:t>% w skali roku – w stosunkach z podmiotem publicznym niebędącym pomiotem leczniczym</w:t>
      </w:r>
      <w:r w:rsidR="00552748">
        <w:rPr>
          <w:spacing w:val="-6"/>
          <w:szCs w:val="24"/>
        </w:rPr>
        <w:t>;</w:t>
      </w:r>
    </w:p>
    <w:p w14:paraId="44AB354A" w14:textId="2F87BC1E" w:rsidR="00386EF2" w:rsidRPr="00220C54" w:rsidRDefault="003B19BB" w:rsidP="00A366DF">
      <w:pPr>
        <w:pStyle w:val="Akapitzlist"/>
        <w:numPr>
          <w:ilvl w:val="1"/>
          <w:numId w:val="27"/>
        </w:numPr>
        <w:spacing w:line="256" w:lineRule="auto"/>
        <w:ind w:left="697" w:hanging="357"/>
        <w:contextualSpacing/>
        <w:rPr>
          <w:spacing w:val="-6"/>
          <w:szCs w:val="24"/>
        </w:rPr>
      </w:pPr>
      <w:r w:rsidRPr="003B19BB">
        <w:t xml:space="preserve">od 1 </w:t>
      </w:r>
      <w:r w:rsidRPr="00A366DF">
        <w:rPr>
          <w:spacing w:val="-6"/>
          <w:szCs w:val="24"/>
        </w:rPr>
        <w:t>stycznia</w:t>
      </w:r>
      <w:r w:rsidRPr="003B19BB">
        <w:t xml:space="preserve"> 2022 r do 30 czerwca 2022 r.:</w:t>
      </w:r>
    </w:p>
    <w:p w14:paraId="772833BE" w14:textId="6E520C18" w:rsidR="003B19BB" w:rsidRPr="00A366DF" w:rsidRDefault="003B19BB" w:rsidP="00A366DF">
      <w:pPr>
        <w:pStyle w:val="Akapitzlist"/>
        <w:numPr>
          <w:ilvl w:val="0"/>
          <w:numId w:val="32"/>
        </w:numPr>
        <w:spacing w:line="256" w:lineRule="auto"/>
        <w:ind w:left="1040"/>
        <w:contextualSpacing/>
        <w:rPr>
          <w:spacing w:val="-6"/>
          <w:szCs w:val="24"/>
        </w:rPr>
      </w:pPr>
      <w:r w:rsidRPr="00A366DF">
        <w:rPr>
          <w:spacing w:val="-6"/>
          <w:szCs w:val="24"/>
        </w:rPr>
        <w:t>9,75% w skali roku – w stosunkach z podmiotem publicznym będącym podmiotem leczniczym,</w:t>
      </w:r>
    </w:p>
    <w:p w14:paraId="5C55F463" w14:textId="555DD8B2" w:rsidR="003B19BB" w:rsidRDefault="003B19BB" w:rsidP="00A366DF">
      <w:pPr>
        <w:pStyle w:val="Akapitzlist"/>
        <w:numPr>
          <w:ilvl w:val="0"/>
          <w:numId w:val="32"/>
        </w:numPr>
        <w:spacing w:line="256" w:lineRule="auto"/>
        <w:ind w:left="1040"/>
        <w:contextualSpacing/>
        <w:rPr>
          <w:spacing w:val="-6"/>
          <w:szCs w:val="24"/>
        </w:rPr>
      </w:pPr>
      <w:r w:rsidRPr="00220C54">
        <w:rPr>
          <w:spacing w:val="-7"/>
          <w:szCs w:val="24"/>
        </w:rPr>
        <w:t>11,75% w skali roku – w stosunkach z podmiotem publicznym niebędącym pomiotem leczniczym</w:t>
      </w:r>
      <w:r w:rsidR="00552748">
        <w:rPr>
          <w:spacing w:val="-6"/>
          <w:szCs w:val="24"/>
        </w:rPr>
        <w:t>.</w:t>
      </w:r>
    </w:p>
    <w:p w14:paraId="688D5740" w14:textId="77777777" w:rsidR="0041402E" w:rsidRPr="00D754E4" w:rsidRDefault="0041402E" w:rsidP="00D754E4">
      <w:pPr>
        <w:pStyle w:val="Akapitzlist"/>
        <w:numPr>
          <w:ilvl w:val="0"/>
          <w:numId w:val="25"/>
        </w:numPr>
        <w:spacing w:before="60" w:line="257" w:lineRule="auto"/>
        <w:ind w:left="334" w:hanging="357"/>
        <w:rPr>
          <w:szCs w:val="24"/>
        </w:rPr>
      </w:pPr>
      <w:r w:rsidRPr="00D754E4">
        <w:rPr>
          <w:szCs w:val="24"/>
        </w:rPr>
        <w:t xml:space="preserve">Do 31 grudnia 2019 r. odsetki naliczane są na podstawie </w:t>
      </w:r>
      <w:r w:rsidR="00C649FC" w:rsidRPr="00D754E4">
        <w:rPr>
          <w:szCs w:val="24"/>
        </w:rPr>
        <w:t>k</w:t>
      </w:r>
      <w:r w:rsidRPr="00D754E4">
        <w:rPr>
          <w:szCs w:val="24"/>
        </w:rPr>
        <w:t>omunikatu nr 6 Rektora ZUT z dnia 21 stycznia 2016 r.</w:t>
      </w:r>
      <w:r w:rsidR="00D754E4">
        <w:rPr>
          <w:szCs w:val="24"/>
        </w:rPr>
        <w:t>, z</w:t>
      </w:r>
      <w:r w:rsidR="00681B42">
        <w:rPr>
          <w:szCs w:val="24"/>
        </w:rPr>
        <w:t xml:space="preserve">e zmianą: </w:t>
      </w:r>
      <w:r w:rsidR="00C649FC" w:rsidRPr="00D754E4">
        <w:rPr>
          <w:szCs w:val="24"/>
        </w:rPr>
        <w:t>k</w:t>
      </w:r>
      <w:r w:rsidRPr="00D754E4">
        <w:rPr>
          <w:szCs w:val="24"/>
        </w:rPr>
        <w:t>omunikat nr 9 Rektora ZUT z dnia 5 kwietnia 2016 r.</w:t>
      </w:r>
    </w:p>
    <w:p w14:paraId="11591190" w14:textId="77777777" w:rsidR="0041402E" w:rsidRDefault="0041402E" w:rsidP="00D754E4">
      <w:pPr>
        <w:pStyle w:val="Akapitzlist"/>
        <w:numPr>
          <w:ilvl w:val="0"/>
          <w:numId w:val="25"/>
        </w:numPr>
        <w:spacing w:before="60" w:line="257" w:lineRule="auto"/>
        <w:ind w:left="334" w:hanging="357"/>
        <w:rPr>
          <w:szCs w:val="24"/>
        </w:rPr>
      </w:pPr>
      <w:r>
        <w:rPr>
          <w:szCs w:val="24"/>
        </w:rPr>
        <w:t>Informacja o zmianie wysokości odsetek za opóźnienie oraz odsetek za opóźnienie w transakcjach handlowych będzie każdorazowo ogłaszana, na wniosek Kwestora, komunikatem Rektora.</w:t>
      </w:r>
    </w:p>
    <w:p w14:paraId="21037697" w14:textId="77777777" w:rsidR="00307AD4" w:rsidRPr="0041402E" w:rsidRDefault="00307AD4" w:rsidP="00681B42">
      <w:pPr>
        <w:pStyle w:val="Akapitzlist"/>
        <w:numPr>
          <w:ilvl w:val="0"/>
          <w:numId w:val="25"/>
        </w:numPr>
        <w:spacing w:before="60" w:line="257" w:lineRule="auto"/>
        <w:ind w:left="334" w:hanging="357"/>
        <w:rPr>
          <w:szCs w:val="24"/>
        </w:rPr>
      </w:pPr>
      <w:r>
        <w:rPr>
          <w:szCs w:val="24"/>
        </w:rPr>
        <w:t>Trac</w:t>
      </w:r>
      <w:r w:rsidR="00681B42">
        <w:rPr>
          <w:szCs w:val="24"/>
        </w:rPr>
        <w:t>i</w:t>
      </w:r>
      <w:r>
        <w:rPr>
          <w:szCs w:val="24"/>
        </w:rPr>
        <w:t xml:space="preserve"> moc</w:t>
      </w:r>
      <w:r w:rsidR="00681B42">
        <w:rPr>
          <w:szCs w:val="24"/>
        </w:rPr>
        <w:t xml:space="preserve"> </w:t>
      </w:r>
      <w:r w:rsidR="00CB6293">
        <w:rPr>
          <w:szCs w:val="24"/>
        </w:rPr>
        <w:t xml:space="preserve">komunikat nr </w:t>
      </w:r>
      <w:r w:rsidR="00F10262">
        <w:rPr>
          <w:szCs w:val="24"/>
        </w:rPr>
        <w:t>14</w:t>
      </w:r>
      <w:r w:rsidR="00CB6293">
        <w:rPr>
          <w:szCs w:val="24"/>
        </w:rPr>
        <w:t xml:space="preserve"> Rektora ZUT z dnia </w:t>
      </w:r>
      <w:r w:rsidR="00F10262">
        <w:rPr>
          <w:szCs w:val="24"/>
        </w:rPr>
        <w:t>8 kwietnia</w:t>
      </w:r>
      <w:r w:rsidR="00207800">
        <w:rPr>
          <w:szCs w:val="24"/>
        </w:rPr>
        <w:t xml:space="preserve"> 2022</w:t>
      </w:r>
      <w:r w:rsidR="00CB6293">
        <w:rPr>
          <w:szCs w:val="24"/>
        </w:rPr>
        <w:t xml:space="preserve"> r</w:t>
      </w:r>
      <w:r w:rsidR="00D754E4" w:rsidRPr="00D754E4">
        <w:rPr>
          <w:szCs w:val="24"/>
        </w:rPr>
        <w:t>.</w:t>
      </w:r>
    </w:p>
    <w:p w14:paraId="1CE937F4" w14:textId="77777777" w:rsidR="00095675" w:rsidRPr="00D754E4" w:rsidRDefault="0041402E" w:rsidP="00D754E4">
      <w:pPr>
        <w:pStyle w:val="Akapitzlist"/>
        <w:numPr>
          <w:ilvl w:val="0"/>
          <w:numId w:val="25"/>
        </w:numPr>
        <w:spacing w:before="60" w:line="257" w:lineRule="auto"/>
        <w:ind w:left="334" w:hanging="357"/>
      </w:pPr>
      <w:r w:rsidRPr="00D754E4">
        <w:rPr>
          <w:szCs w:val="24"/>
        </w:rPr>
        <w:t xml:space="preserve">Komunikat </w:t>
      </w:r>
      <w:r w:rsidR="00307AD4" w:rsidRPr="00D754E4">
        <w:rPr>
          <w:szCs w:val="24"/>
        </w:rPr>
        <w:t xml:space="preserve">obowiązuje </w:t>
      </w:r>
      <w:r w:rsidRPr="00D754E4">
        <w:rPr>
          <w:szCs w:val="24"/>
        </w:rPr>
        <w:t xml:space="preserve">z dniem </w:t>
      </w:r>
      <w:r w:rsidR="001B1F06">
        <w:rPr>
          <w:szCs w:val="24"/>
        </w:rPr>
        <w:t>podpisania</w:t>
      </w:r>
      <w:r w:rsidR="00307AD4" w:rsidRPr="00D754E4">
        <w:rPr>
          <w:szCs w:val="24"/>
        </w:rPr>
        <w:t>.</w:t>
      </w:r>
      <w:r w:rsidRPr="00D754E4">
        <w:rPr>
          <w:szCs w:val="24"/>
        </w:rPr>
        <w:t xml:space="preserve"> </w:t>
      </w:r>
    </w:p>
    <w:p w14:paraId="3A144EDA" w14:textId="77777777" w:rsidR="00220C54" w:rsidRDefault="00220C54" w:rsidP="00B14F9E">
      <w:pPr>
        <w:pStyle w:val="rektorpodpis"/>
        <w:spacing w:after="720" w:line="240" w:lineRule="auto"/>
        <w:ind w:left="5954"/>
      </w:pPr>
      <w:r>
        <w:t>R</w:t>
      </w:r>
      <w:r w:rsidR="00807FA8">
        <w:t>ektor</w:t>
      </w:r>
    </w:p>
    <w:p w14:paraId="62F193AD" w14:textId="72047282" w:rsidR="00220C54" w:rsidRPr="0041402E" w:rsidRDefault="00807FA8" w:rsidP="00A366DF">
      <w:pPr>
        <w:pStyle w:val="rektorpodpis"/>
        <w:spacing w:before="0" w:line="240" w:lineRule="auto"/>
        <w:ind w:left="5954"/>
      </w:pPr>
      <w:r>
        <w:t xml:space="preserve">dr hab. inż. </w:t>
      </w:r>
      <w:r w:rsidR="00D539C9">
        <w:t>Jacek Wróbel</w:t>
      </w:r>
      <w:r>
        <w:t xml:space="preserve">, prof. ZUT </w:t>
      </w:r>
    </w:p>
    <w:sectPr w:rsidR="00220C54" w:rsidRPr="0041402E" w:rsidSect="00327FCD">
      <w:pgSz w:w="11906" w:h="16838" w:code="9"/>
      <w:pgMar w:top="851" w:right="851" w:bottom="567" w:left="1418" w:header="90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66967" w14:textId="77777777" w:rsidR="00692161" w:rsidRDefault="00692161" w:rsidP="00327FCD">
      <w:pPr>
        <w:spacing w:line="240" w:lineRule="auto"/>
      </w:pPr>
      <w:r>
        <w:separator/>
      </w:r>
    </w:p>
  </w:endnote>
  <w:endnote w:type="continuationSeparator" w:id="0">
    <w:p w14:paraId="242391AC" w14:textId="77777777" w:rsidR="00692161" w:rsidRDefault="00692161" w:rsidP="00327F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B4E34" w14:textId="77777777" w:rsidR="00692161" w:rsidRDefault="00692161" w:rsidP="00327FCD">
      <w:pPr>
        <w:spacing w:line="240" w:lineRule="auto"/>
      </w:pPr>
      <w:r>
        <w:separator/>
      </w:r>
    </w:p>
  </w:footnote>
  <w:footnote w:type="continuationSeparator" w:id="0">
    <w:p w14:paraId="3B35E09C" w14:textId="77777777" w:rsidR="00692161" w:rsidRDefault="00692161" w:rsidP="00327FC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84F1A"/>
    <w:multiLevelType w:val="hybridMultilevel"/>
    <w:tmpl w:val="CD722778"/>
    <w:lvl w:ilvl="0" w:tplc="AB3A7C6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C0E222D"/>
    <w:multiLevelType w:val="hybridMultilevel"/>
    <w:tmpl w:val="9828AE4E"/>
    <w:lvl w:ilvl="0" w:tplc="E370E49E">
      <w:start w:val="1"/>
      <w:numFmt w:val="decimal"/>
      <w:pStyle w:val="1wyliczanka"/>
      <w:lvlText w:val="%1."/>
      <w:lvlJc w:val="left"/>
      <w:pPr>
        <w:ind w:left="3440" w:hanging="360"/>
      </w:pPr>
    </w:lvl>
    <w:lvl w:ilvl="1" w:tplc="04150019">
      <w:start w:val="1"/>
      <w:numFmt w:val="lowerLetter"/>
      <w:lvlText w:val="%2."/>
      <w:lvlJc w:val="left"/>
      <w:pPr>
        <w:ind w:left="4160" w:hanging="360"/>
      </w:pPr>
    </w:lvl>
    <w:lvl w:ilvl="2" w:tplc="0415001B" w:tentative="1">
      <w:start w:val="1"/>
      <w:numFmt w:val="lowerRoman"/>
      <w:lvlText w:val="%3."/>
      <w:lvlJc w:val="right"/>
      <w:pPr>
        <w:ind w:left="4880" w:hanging="180"/>
      </w:pPr>
    </w:lvl>
    <w:lvl w:ilvl="3" w:tplc="0415000F" w:tentative="1">
      <w:start w:val="1"/>
      <w:numFmt w:val="decimal"/>
      <w:lvlText w:val="%4."/>
      <w:lvlJc w:val="left"/>
      <w:pPr>
        <w:ind w:left="5600" w:hanging="360"/>
      </w:pPr>
    </w:lvl>
    <w:lvl w:ilvl="4" w:tplc="04150019" w:tentative="1">
      <w:start w:val="1"/>
      <w:numFmt w:val="lowerLetter"/>
      <w:lvlText w:val="%5."/>
      <w:lvlJc w:val="left"/>
      <w:pPr>
        <w:ind w:left="6320" w:hanging="360"/>
      </w:pPr>
    </w:lvl>
    <w:lvl w:ilvl="5" w:tplc="0415001B" w:tentative="1">
      <w:start w:val="1"/>
      <w:numFmt w:val="lowerRoman"/>
      <w:lvlText w:val="%6."/>
      <w:lvlJc w:val="right"/>
      <w:pPr>
        <w:ind w:left="7040" w:hanging="180"/>
      </w:pPr>
    </w:lvl>
    <w:lvl w:ilvl="6" w:tplc="0415000F" w:tentative="1">
      <w:start w:val="1"/>
      <w:numFmt w:val="decimal"/>
      <w:lvlText w:val="%7."/>
      <w:lvlJc w:val="left"/>
      <w:pPr>
        <w:ind w:left="7760" w:hanging="360"/>
      </w:pPr>
    </w:lvl>
    <w:lvl w:ilvl="7" w:tplc="04150019" w:tentative="1">
      <w:start w:val="1"/>
      <w:numFmt w:val="lowerLetter"/>
      <w:lvlText w:val="%8."/>
      <w:lvlJc w:val="left"/>
      <w:pPr>
        <w:ind w:left="8480" w:hanging="360"/>
      </w:pPr>
    </w:lvl>
    <w:lvl w:ilvl="8" w:tplc="0415001B" w:tentative="1">
      <w:start w:val="1"/>
      <w:numFmt w:val="lowerRoman"/>
      <w:lvlText w:val="%9."/>
      <w:lvlJc w:val="right"/>
      <w:pPr>
        <w:ind w:left="9200" w:hanging="180"/>
      </w:pPr>
    </w:lvl>
  </w:abstractNum>
  <w:abstractNum w:abstractNumId="2" w15:restartNumberingAfterBreak="0">
    <w:nsid w:val="0CAF43AA"/>
    <w:multiLevelType w:val="hybridMultilevel"/>
    <w:tmpl w:val="DABE6C00"/>
    <w:lvl w:ilvl="0" w:tplc="BD806D74">
      <w:start w:val="1"/>
      <w:numFmt w:val="decimal"/>
      <w:lvlText w:val="§ %1."/>
      <w:lvlJc w:val="center"/>
      <w:pPr>
        <w:ind w:left="129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3" w15:restartNumberingAfterBreak="0">
    <w:nsid w:val="0F585E20"/>
    <w:multiLevelType w:val="hybridMultilevel"/>
    <w:tmpl w:val="44246AC8"/>
    <w:lvl w:ilvl="0" w:tplc="E5326AE2">
      <w:start w:val="1"/>
      <w:numFmt w:val="decimal"/>
      <w:lvlText w:val="§ %1."/>
      <w:lvlJc w:val="center"/>
      <w:pPr>
        <w:ind w:left="165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73" w:hanging="360"/>
      </w:p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4" w15:restartNumberingAfterBreak="0">
    <w:nsid w:val="11441B86"/>
    <w:multiLevelType w:val="hybridMultilevel"/>
    <w:tmpl w:val="559468A2"/>
    <w:lvl w:ilvl="0" w:tplc="79C03B64">
      <w:start w:val="1"/>
      <w:numFmt w:val="decimal"/>
      <w:lvlText w:val="§ %1."/>
      <w:lvlJc w:val="center"/>
      <w:pPr>
        <w:ind w:left="201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733" w:hanging="360"/>
      </w:pPr>
    </w:lvl>
    <w:lvl w:ilvl="2" w:tplc="0415001B" w:tentative="1">
      <w:start w:val="1"/>
      <w:numFmt w:val="lowerRoman"/>
      <w:lvlText w:val="%3."/>
      <w:lvlJc w:val="right"/>
      <w:pPr>
        <w:ind w:left="3453" w:hanging="180"/>
      </w:pPr>
    </w:lvl>
    <w:lvl w:ilvl="3" w:tplc="0415000F" w:tentative="1">
      <w:start w:val="1"/>
      <w:numFmt w:val="decimal"/>
      <w:lvlText w:val="%4."/>
      <w:lvlJc w:val="left"/>
      <w:pPr>
        <w:ind w:left="4173" w:hanging="360"/>
      </w:pPr>
    </w:lvl>
    <w:lvl w:ilvl="4" w:tplc="04150019" w:tentative="1">
      <w:start w:val="1"/>
      <w:numFmt w:val="lowerLetter"/>
      <w:lvlText w:val="%5."/>
      <w:lvlJc w:val="left"/>
      <w:pPr>
        <w:ind w:left="4893" w:hanging="360"/>
      </w:pPr>
    </w:lvl>
    <w:lvl w:ilvl="5" w:tplc="0415001B" w:tentative="1">
      <w:start w:val="1"/>
      <w:numFmt w:val="lowerRoman"/>
      <w:lvlText w:val="%6."/>
      <w:lvlJc w:val="right"/>
      <w:pPr>
        <w:ind w:left="5613" w:hanging="180"/>
      </w:pPr>
    </w:lvl>
    <w:lvl w:ilvl="6" w:tplc="0415000F" w:tentative="1">
      <w:start w:val="1"/>
      <w:numFmt w:val="decimal"/>
      <w:lvlText w:val="%7."/>
      <w:lvlJc w:val="left"/>
      <w:pPr>
        <w:ind w:left="6333" w:hanging="360"/>
      </w:pPr>
    </w:lvl>
    <w:lvl w:ilvl="7" w:tplc="04150019" w:tentative="1">
      <w:start w:val="1"/>
      <w:numFmt w:val="lowerLetter"/>
      <w:lvlText w:val="%8."/>
      <w:lvlJc w:val="left"/>
      <w:pPr>
        <w:ind w:left="7053" w:hanging="360"/>
      </w:pPr>
    </w:lvl>
    <w:lvl w:ilvl="8" w:tplc="0415001B" w:tentative="1">
      <w:start w:val="1"/>
      <w:numFmt w:val="lowerRoman"/>
      <w:lvlText w:val="%9."/>
      <w:lvlJc w:val="right"/>
      <w:pPr>
        <w:ind w:left="7773" w:hanging="180"/>
      </w:pPr>
    </w:lvl>
  </w:abstractNum>
  <w:abstractNum w:abstractNumId="5" w15:restartNumberingAfterBreak="0">
    <w:nsid w:val="19835E9C"/>
    <w:multiLevelType w:val="hybridMultilevel"/>
    <w:tmpl w:val="C480163A"/>
    <w:lvl w:ilvl="0" w:tplc="79C03B64">
      <w:start w:val="1"/>
      <w:numFmt w:val="decimal"/>
      <w:lvlText w:val="§ %1."/>
      <w:lvlJc w:val="center"/>
      <w:pPr>
        <w:ind w:left="176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EE920B78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3232C"/>
    <w:multiLevelType w:val="hybridMultilevel"/>
    <w:tmpl w:val="EB629604"/>
    <w:lvl w:ilvl="0" w:tplc="79C03B64">
      <w:start w:val="1"/>
      <w:numFmt w:val="decimal"/>
      <w:lvlText w:val="§ %1."/>
      <w:lvlJc w:val="center"/>
      <w:pPr>
        <w:ind w:left="201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733" w:hanging="360"/>
      </w:pPr>
    </w:lvl>
    <w:lvl w:ilvl="2" w:tplc="0415001B" w:tentative="1">
      <w:start w:val="1"/>
      <w:numFmt w:val="lowerRoman"/>
      <w:lvlText w:val="%3."/>
      <w:lvlJc w:val="right"/>
      <w:pPr>
        <w:ind w:left="3453" w:hanging="180"/>
      </w:pPr>
    </w:lvl>
    <w:lvl w:ilvl="3" w:tplc="0415000F" w:tentative="1">
      <w:start w:val="1"/>
      <w:numFmt w:val="decimal"/>
      <w:lvlText w:val="%4."/>
      <w:lvlJc w:val="left"/>
      <w:pPr>
        <w:ind w:left="4173" w:hanging="360"/>
      </w:pPr>
    </w:lvl>
    <w:lvl w:ilvl="4" w:tplc="04150019" w:tentative="1">
      <w:start w:val="1"/>
      <w:numFmt w:val="lowerLetter"/>
      <w:lvlText w:val="%5."/>
      <w:lvlJc w:val="left"/>
      <w:pPr>
        <w:ind w:left="4893" w:hanging="360"/>
      </w:pPr>
    </w:lvl>
    <w:lvl w:ilvl="5" w:tplc="0415001B" w:tentative="1">
      <w:start w:val="1"/>
      <w:numFmt w:val="lowerRoman"/>
      <w:lvlText w:val="%6."/>
      <w:lvlJc w:val="right"/>
      <w:pPr>
        <w:ind w:left="5613" w:hanging="180"/>
      </w:pPr>
    </w:lvl>
    <w:lvl w:ilvl="6" w:tplc="0415000F" w:tentative="1">
      <w:start w:val="1"/>
      <w:numFmt w:val="decimal"/>
      <w:lvlText w:val="%7."/>
      <w:lvlJc w:val="left"/>
      <w:pPr>
        <w:ind w:left="6333" w:hanging="360"/>
      </w:pPr>
    </w:lvl>
    <w:lvl w:ilvl="7" w:tplc="04150019" w:tentative="1">
      <w:start w:val="1"/>
      <w:numFmt w:val="lowerLetter"/>
      <w:lvlText w:val="%8."/>
      <w:lvlJc w:val="left"/>
      <w:pPr>
        <w:ind w:left="7053" w:hanging="360"/>
      </w:pPr>
    </w:lvl>
    <w:lvl w:ilvl="8" w:tplc="0415001B" w:tentative="1">
      <w:start w:val="1"/>
      <w:numFmt w:val="lowerRoman"/>
      <w:lvlText w:val="%9."/>
      <w:lvlJc w:val="right"/>
      <w:pPr>
        <w:ind w:left="7773" w:hanging="180"/>
      </w:pPr>
    </w:lvl>
  </w:abstractNum>
  <w:abstractNum w:abstractNumId="7" w15:restartNumberingAfterBreak="0">
    <w:nsid w:val="2DD925F1"/>
    <w:multiLevelType w:val="hybridMultilevel"/>
    <w:tmpl w:val="443E5674"/>
    <w:lvl w:ilvl="0" w:tplc="2D10062E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566374"/>
    <w:multiLevelType w:val="hybridMultilevel"/>
    <w:tmpl w:val="4DFC2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A3FB1"/>
    <w:multiLevelType w:val="hybridMultilevel"/>
    <w:tmpl w:val="05AC149A"/>
    <w:lvl w:ilvl="0" w:tplc="AB0A4126">
      <w:start w:val="1"/>
      <w:numFmt w:val="decimal"/>
      <w:lvlText w:val="§ %1."/>
      <w:lvlJc w:val="center"/>
      <w:pPr>
        <w:ind w:left="165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73" w:hanging="360"/>
      </w:p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10" w15:restartNumberingAfterBreak="0">
    <w:nsid w:val="3FAE3634"/>
    <w:multiLevelType w:val="hybridMultilevel"/>
    <w:tmpl w:val="65AC14F6"/>
    <w:lvl w:ilvl="0" w:tplc="79C03B64">
      <w:start w:val="1"/>
      <w:numFmt w:val="decimal"/>
      <w:lvlText w:val="§ %1."/>
      <w:lvlJc w:val="center"/>
      <w:pPr>
        <w:ind w:left="176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 w15:restartNumberingAfterBreak="0">
    <w:nsid w:val="4089064A"/>
    <w:multiLevelType w:val="hybridMultilevel"/>
    <w:tmpl w:val="F8B4D154"/>
    <w:lvl w:ilvl="0" w:tplc="A066E2A6">
      <w:start w:val="1"/>
      <w:numFmt w:val="lowerLetter"/>
      <w:pStyle w:val="awyliczanka"/>
      <w:lvlText w:val="%1)"/>
      <w:lvlJc w:val="left"/>
      <w:pPr>
        <w:ind w:left="-1320" w:hanging="360"/>
      </w:pPr>
    </w:lvl>
    <w:lvl w:ilvl="1" w:tplc="04150019" w:tentative="1">
      <w:start w:val="1"/>
      <w:numFmt w:val="lowerLetter"/>
      <w:lvlText w:val="%2."/>
      <w:lvlJc w:val="left"/>
      <w:pPr>
        <w:ind w:left="-600" w:hanging="360"/>
      </w:pPr>
    </w:lvl>
    <w:lvl w:ilvl="2" w:tplc="0415001B" w:tentative="1">
      <w:start w:val="1"/>
      <w:numFmt w:val="lowerRoman"/>
      <w:lvlText w:val="%3."/>
      <w:lvlJc w:val="right"/>
      <w:pPr>
        <w:ind w:left="120" w:hanging="180"/>
      </w:pPr>
    </w:lvl>
    <w:lvl w:ilvl="3" w:tplc="0415000F" w:tentative="1">
      <w:start w:val="1"/>
      <w:numFmt w:val="decimal"/>
      <w:lvlText w:val="%4."/>
      <w:lvlJc w:val="left"/>
      <w:pPr>
        <w:ind w:left="840" w:hanging="360"/>
      </w:pPr>
    </w:lvl>
    <w:lvl w:ilvl="4" w:tplc="04150019" w:tentative="1">
      <w:start w:val="1"/>
      <w:numFmt w:val="lowerLetter"/>
      <w:lvlText w:val="%5."/>
      <w:lvlJc w:val="left"/>
      <w:pPr>
        <w:ind w:left="1560" w:hanging="360"/>
      </w:pPr>
    </w:lvl>
    <w:lvl w:ilvl="5" w:tplc="0415001B" w:tentative="1">
      <w:start w:val="1"/>
      <w:numFmt w:val="lowerRoman"/>
      <w:lvlText w:val="%6."/>
      <w:lvlJc w:val="right"/>
      <w:pPr>
        <w:ind w:left="2280" w:hanging="180"/>
      </w:pPr>
    </w:lvl>
    <w:lvl w:ilvl="6" w:tplc="0415000F" w:tentative="1">
      <w:start w:val="1"/>
      <w:numFmt w:val="decimal"/>
      <w:lvlText w:val="%7."/>
      <w:lvlJc w:val="left"/>
      <w:pPr>
        <w:ind w:left="3000" w:hanging="360"/>
      </w:pPr>
    </w:lvl>
    <w:lvl w:ilvl="7" w:tplc="04150019" w:tentative="1">
      <w:start w:val="1"/>
      <w:numFmt w:val="lowerLetter"/>
      <w:lvlText w:val="%8."/>
      <w:lvlJc w:val="left"/>
      <w:pPr>
        <w:ind w:left="3720" w:hanging="360"/>
      </w:pPr>
    </w:lvl>
    <w:lvl w:ilvl="8" w:tplc="0415001B" w:tentative="1">
      <w:start w:val="1"/>
      <w:numFmt w:val="lowerRoman"/>
      <w:lvlText w:val="%9."/>
      <w:lvlJc w:val="right"/>
      <w:pPr>
        <w:ind w:left="4440" w:hanging="180"/>
      </w:pPr>
    </w:lvl>
  </w:abstractNum>
  <w:abstractNum w:abstractNumId="12" w15:restartNumberingAfterBreak="0">
    <w:nsid w:val="4640404D"/>
    <w:multiLevelType w:val="hybridMultilevel"/>
    <w:tmpl w:val="2250B5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B552E8"/>
    <w:multiLevelType w:val="multilevel"/>
    <w:tmpl w:val="FCEA4004"/>
    <w:lvl w:ilvl="0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cs="Times New Roman"/>
      </w:rPr>
    </w:lvl>
  </w:abstractNum>
  <w:abstractNum w:abstractNumId="14" w15:restartNumberingAfterBreak="0">
    <w:nsid w:val="488B50C4"/>
    <w:multiLevelType w:val="hybridMultilevel"/>
    <w:tmpl w:val="0BF884DA"/>
    <w:lvl w:ilvl="0" w:tplc="16922482">
      <w:start w:val="1"/>
      <w:numFmt w:val="decimal"/>
      <w:pStyle w:val="paragraf"/>
      <w:lvlText w:val="§ %1."/>
      <w:lvlJc w:val="center"/>
      <w:pPr>
        <w:ind w:left="1401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15" w15:restartNumberingAfterBreak="0">
    <w:nsid w:val="4EF260A3"/>
    <w:multiLevelType w:val="hybridMultilevel"/>
    <w:tmpl w:val="00F038A2"/>
    <w:lvl w:ilvl="0" w:tplc="147AFEEA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E11545"/>
    <w:multiLevelType w:val="hybridMultilevel"/>
    <w:tmpl w:val="63B0BA28"/>
    <w:lvl w:ilvl="0" w:tplc="04150011">
      <w:start w:val="1"/>
      <w:numFmt w:val="decimal"/>
      <w:lvlText w:val="%1)"/>
      <w:lvlJc w:val="left"/>
      <w:pPr>
        <w:ind w:left="2080" w:hanging="360"/>
      </w:pPr>
    </w:lvl>
    <w:lvl w:ilvl="1" w:tplc="04150019">
      <w:start w:val="1"/>
      <w:numFmt w:val="lowerLetter"/>
      <w:lvlText w:val="%2."/>
      <w:lvlJc w:val="left"/>
      <w:pPr>
        <w:ind w:left="2800" w:hanging="360"/>
      </w:pPr>
    </w:lvl>
    <w:lvl w:ilvl="2" w:tplc="0415001B">
      <w:start w:val="1"/>
      <w:numFmt w:val="lowerRoman"/>
      <w:lvlText w:val="%3."/>
      <w:lvlJc w:val="right"/>
      <w:pPr>
        <w:ind w:left="3520" w:hanging="180"/>
      </w:pPr>
    </w:lvl>
    <w:lvl w:ilvl="3" w:tplc="0415000F">
      <w:start w:val="1"/>
      <w:numFmt w:val="decimal"/>
      <w:lvlText w:val="%4."/>
      <w:lvlJc w:val="left"/>
      <w:pPr>
        <w:ind w:left="4240" w:hanging="360"/>
      </w:pPr>
    </w:lvl>
    <w:lvl w:ilvl="4" w:tplc="04150019">
      <w:start w:val="1"/>
      <w:numFmt w:val="lowerLetter"/>
      <w:lvlText w:val="%5."/>
      <w:lvlJc w:val="left"/>
      <w:pPr>
        <w:ind w:left="4960" w:hanging="360"/>
      </w:pPr>
    </w:lvl>
    <w:lvl w:ilvl="5" w:tplc="0415001B">
      <w:start w:val="1"/>
      <w:numFmt w:val="lowerRoman"/>
      <w:lvlText w:val="%6."/>
      <w:lvlJc w:val="right"/>
      <w:pPr>
        <w:ind w:left="5680" w:hanging="180"/>
      </w:pPr>
    </w:lvl>
    <w:lvl w:ilvl="6" w:tplc="0415000F">
      <w:start w:val="1"/>
      <w:numFmt w:val="decimal"/>
      <w:lvlText w:val="%7."/>
      <w:lvlJc w:val="left"/>
      <w:pPr>
        <w:ind w:left="6400" w:hanging="360"/>
      </w:pPr>
    </w:lvl>
    <w:lvl w:ilvl="7" w:tplc="04150019">
      <w:start w:val="1"/>
      <w:numFmt w:val="lowerLetter"/>
      <w:lvlText w:val="%8."/>
      <w:lvlJc w:val="left"/>
      <w:pPr>
        <w:ind w:left="7120" w:hanging="360"/>
      </w:pPr>
    </w:lvl>
    <w:lvl w:ilvl="8" w:tplc="0415001B">
      <w:start w:val="1"/>
      <w:numFmt w:val="lowerRoman"/>
      <w:lvlText w:val="%9."/>
      <w:lvlJc w:val="right"/>
      <w:pPr>
        <w:ind w:left="7840" w:hanging="180"/>
      </w:pPr>
    </w:lvl>
  </w:abstractNum>
  <w:abstractNum w:abstractNumId="17" w15:restartNumberingAfterBreak="0">
    <w:nsid w:val="606F514B"/>
    <w:multiLevelType w:val="multilevel"/>
    <w:tmpl w:val="9B0A7E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111A28"/>
    <w:multiLevelType w:val="multilevel"/>
    <w:tmpl w:val="094C16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a)"/>
      <w:lvlJc w:val="right"/>
      <w:pPr>
        <w:ind w:left="68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19" w15:restartNumberingAfterBreak="0">
    <w:nsid w:val="6E271E08"/>
    <w:multiLevelType w:val="hybridMultilevel"/>
    <w:tmpl w:val="A1604EA2"/>
    <w:lvl w:ilvl="0" w:tplc="AB3A7C6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6EA16D3D"/>
    <w:multiLevelType w:val="hybridMultilevel"/>
    <w:tmpl w:val="21AE7A64"/>
    <w:lvl w:ilvl="0" w:tplc="44D03170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675075"/>
    <w:multiLevelType w:val="hybridMultilevel"/>
    <w:tmpl w:val="C3C2A4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8423F27"/>
    <w:multiLevelType w:val="hybridMultilevel"/>
    <w:tmpl w:val="FD96EF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B45A57"/>
    <w:multiLevelType w:val="hybridMultilevel"/>
    <w:tmpl w:val="1590839C"/>
    <w:lvl w:ilvl="0" w:tplc="AB3A7C6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7E682E8C"/>
    <w:multiLevelType w:val="hybridMultilevel"/>
    <w:tmpl w:val="E90E73E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3"/>
  </w:num>
  <w:num w:numId="2">
    <w:abstractNumId w:val="10"/>
  </w:num>
  <w:num w:numId="3">
    <w:abstractNumId w:val="20"/>
  </w:num>
  <w:num w:numId="4">
    <w:abstractNumId w:val="15"/>
  </w:num>
  <w:num w:numId="5">
    <w:abstractNumId w:val="5"/>
  </w:num>
  <w:num w:numId="6">
    <w:abstractNumId w:val="2"/>
  </w:num>
  <w:num w:numId="7">
    <w:abstractNumId w:val="18"/>
  </w:num>
  <w:num w:numId="8">
    <w:abstractNumId w:val="17"/>
  </w:num>
  <w:num w:numId="9">
    <w:abstractNumId w:val="7"/>
  </w:num>
  <w:num w:numId="10">
    <w:abstractNumId w:val="11"/>
  </w:num>
  <w:num w:numId="11">
    <w:abstractNumId w:val="9"/>
  </w:num>
  <w:num w:numId="12">
    <w:abstractNumId w:val="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6"/>
  </w:num>
  <w:num w:numId="17">
    <w:abstractNumId w:val="4"/>
  </w:num>
  <w:num w:numId="18">
    <w:abstractNumId w:val="18"/>
  </w:num>
  <w:num w:numId="19">
    <w:abstractNumId w:val="18"/>
  </w:num>
  <w:num w:numId="20">
    <w:abstractNumId w:val="14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1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19"/>
  </w:num>
  <w:num w:numId="31">
    <w:abstractNumId w:val="23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02E"/>
    <w:rsid w:val="00027250"/>
    <w:rsid w:val="00032E08"/>
    <w:rsid w:val="00095675"/>
    <w:rsid w:val="00100E9F"/>
    <w:rsid w:val="001755D7"/>
    <w:rsid w:val="001B1F06"/>
    <w:rsid w:val="00207800"/>
    <w:rsid w:val="00215460"/>
    <w:rsid w:val="00220C54"/>
    <w:rsid w:val="002263CD"/>
    <w:rsid w:val="002B6E5E"/>
    <w:rsid w:val="002F1774"/>
    <w:rsid w:val="00307AD4"/>
    <w:rsid w:val="00327FCD"/>
    <w:rsid w:val="00347E51"/>
    <w:rsid w:val="00386EF2"/>
    <w:rsid w:val="003B19BB"/>
    <w:rsid w:val="003C0BD5"/>
    <w:rsid w:val="00406D57"/>
    <w:rsid w:val="0041402E"/>
    <w:rsid w:val="00422775"/>
    <w:rsid w:val="0042380C"/>
    <w:rsid w:val="004238FE"/>
    <w:rsid w:val="00485724"/>
    <w:rsid w:val="004E2D0D"/>
    <w:rsid w:val="00507D49"/>
    <w:rsid w:val="0053358C"/>
    <w:rsid w:val="00552748"/>
    <w:rsid w:val="005B0F6A"/>
    <w:rsid w:val="00605389"/>
    <w:rsid w:val="006079A3"/>
    <w:rsid w:val="0061662A"/>
    <w:rsid w:val="00681B42"/>
    <w:rsid w:val="00692161"/>
    <w:rsid w:val="006C44E6"/>
    <w:rsid w:val="00720974"/>
    <w:rsid w:val="007332D4"/>
    <w:rsid w:val="00740281"/>
    <w:rsid w:val="00787289"/>
    <w:rsid w:val="00793752"/>
    <w:rsid w:val="007A1154"/>
    <w:rsid w:val="008015F7"/>
    <w:rsid w:val="00807FA8"/>
    <w:rsid w:val="00873AC7"/>
    <w:rsid w:val="00881A49"/>
    <w:rsid w:val="008D5AC1"/>
    <w:rsid w:val="008F0845"/>
    <w:rsid w:val="00961652"/>
    <w:rsid w:val="00A366DF"/>
    <w:rsid w:val="00A50297"/>
    <w:rsid w:val="00A82839"/>
    <w:rsid w:val="00A91089"/>
    <w:rsid w:val="00A924C5"/>
    <w:rsid w:val="00AA6883"/>
    <w:rsid w:val="00AB6653"/>
    <w:rsid w:val="00AC5A7D"/>
    <w:rsid w:val="00B14F9E"/>
    <w:rsid w:val="00B46149"/>
    <w:rsid w:val="00BA3C1B"/>
    <w:rsid w:val="00C649FC"/>
    <w:rsid w:val="00CB6293"/>
    <w:rsid w:val="00CC4A14"/>
    <w:rsid w:val="00D0080F"/>
    <w:rsid w:val="00D5281E"/>
    <w:rsid w:val="00D539C9"/>
    <w:rsid w:val="00D6622C"/>
    <w:rsid w:val="00D754E4"/>
    <w:rsid w:val="00D818E7"/>
    <w:rsid w:val="00D91D1D"/>
    <w:rsid w:val="00E123B1"/>
    <w:rsid w:val="00E36557"/>
    <w:rsid w:val="00E437A8"/>
    <w:rsid w:val="00E84045"/>
    <w:rsid w:val="00EE0E88"/>
    <w:rsid w:val="00EE6590"/>
    <w:rsid w:val="00F10262"/>
    <w:rsid w:val="00F1769E"/>
    <w:rsid w:val="00F36A77"/>
    <w:rsid w:val="00F56C58"/>
    <w:rsid w:val="00FA3429"/>
    <w:rsid w:val="00FA370F"/>
    <w:rsid w:val="00FC0422"/>
    <w:rsid w:val="00FF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3A99E"/>
  <w15:chartTrackingRefBased/>
  <w15:docId w15:val="{410791DC-D5DE-4D45-9F0E-D38F350E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0" w:unhideWhenUsed="1"/>
    <w:lsdException w:name="heading 3" w:locked="1" w:semiHidden="1" w:uiPriority="0" w:unhideWhenUsed="1"/>
    <w:lsdException w:name="heading 4" w:semiHidden="1" w:unhideWhenUsed="1"/>
    <w:lsdException w:name="heading 5" w:locked="1" w:semiHidden="1" w:uiPriority="0" w:unhideWhenUsed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7A8"/>
    <w:pPr>
      <w:spacing w:line="276" w:lineRule="auto"/>
      <w:jc w:val="both"/>
    </w:pPr>
    <w:rPr>
      <w:bCs/>
      <w:sz w:val="24"/>
      <w:szCs w:val="20"/>
    </w:rPr>
  </w:style>
  <w:style w:type="paragraph" w:styleId="Nagwek1">
    <w:name w:val="heading 1"/>
    <w:basedOn w:val="Normalny"/>
    <w:next w:val="podstawaprawna"/>
    <w:link w:val="Nagwek1Znak"/>
    <w:uiPriority w:val="9"/>
    <w:qFormat/>
    <w:locked/>
    <w:rsid w:val="00605389"/>
    <w:pPr>
      <w:jc w:val="center"/>
      <w:outlineLvl w:val="0"/>
    </w:pPr>
    <w:rPr>
      <w:rFonts w:ascii="Times" w:eastAsiaTheme="majorEastAsia" w:hAnsi="Times" w:cstheme="majorBidi"/>
      <w:b/>
      <w:bCs w:val="0"/>
      <w:szCs w:val="32"/>
    </w:rPr>
  </w:style>
  <w:style w:type="paragraph" w:styleId="Nagwek2">
    <w:name w:val="heading 2"/>
    <w:basedOn w:val="Normalny"/>
    <w:next w:val="Normalny"/>
    <w:link w:val="Nagwek2Znak"/>
    <w:unhideWhenUsed/>
    <w:locked/>
    <w:rsid w:val="009616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link w:val="Nagwek4Znak"/>
    <w:uiPriority w:val="99"/>
    <w:rsid w:val="00D0080F"/>
    <w:pPr>
      <w:spacing w:before="100" w:beforeAutospacing="1" w:after="100" w:afterAutospacing="1"/>
      <w:outlineLvl w:val="3"/>
    </w:pPr>
    <w:rPr>
      <w:bCs w:val="0"/>
      <w:sz w:val="28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D0080F"/>
    <w:rPr>
      <w:rFonts w:ascii="Calibri" w:hAnsi="Calibri"/>
      <w:b/>
      <w:smallCaps/>
      <w:sz w:val="28"/>
    </w:rPr>
  </w:style>
  <w:style w:type="paragraph" w:styleId="Tytu">
    <w:name w:val="Title"/>
    <w:basedOn w:val="Normalny"/>
    <w:next w:val="Podtytu"/>
    <w:link w:val="TytuZnak"/>
    <w:autoRedefine/>
    <w:uiPriority w:val="99"/>
    <w:qFormat/>
    <w:rsid w:val="00507D49"/>
    <w:pPr>
      <w:jc w:val="center"/>
      <w:outlineLvl w:val="0"/>
    </w:pPr>
    <w:rPr>
      <w:b/>
      <w:bCs w:val="0"/>
      <w:caps/>
      <w:kern w:val="28"/>
      <w:sz w:val="32"/>
      <w:szCs w:val="22"/>
    </w:rPr>
  </w:style>
  <w:style w:type="character" w:customStyle="1" w:styleId="TytuZnak">
    <w:name w:val="Tytuł Znak"/>
    <w:basedOn w:val="Domylnaczcionkaakapitu"/>
    <w:link w:val="Tytu"/>
    <w:uiPriority w:val="99"/>
    <w:rsid w:val="00507D49"/>
    <w:rPr>
      <w:b/>
      <w:caps/>
      <w:kern w:val="28"/>
      <w:sz w:val="3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E437A8"/>
    <w:pPr>
      <w:numPr>
        <w:ilvl w:val="1"/>
      </w:numPr>
      <w:jc w:val="center"/>
      <w:outlineLvl w:val="1"/>
    </w:pPr>
    <w:rPr>
      <w:b/>
      <w:bCs w:val="0"/>
      <w:sz w:val="28"/>
      <w:szCs w:val="22"/>
    </w:rPr>
  </w:style>
  <w:style w:type="character" w:customStyle="1" w:styleId="PodtytuZnak">
    <w:name w:val="Podtytuł Znak"/>
    <w:basedOn w:val="Domylnaczcionkaakapitu"/>
    <w:link w:val="Podtytu"/>
    <w:uiPriority w:val="99"/>
    <w:rsid w:val="00E437A8"/>
    <w:rPr>
      <w:b/>
      <w:sz w:val="28"/>
    </w:rPr>
  </w:style>
  <w:style w:type="paragraph" w:styleId="Akapitzlist">
    <w:name w:val="List Paragraph"/>
    <w:basedOn w:val="Normalny"/>
    <w:uiPriority w:val="34"/>
    <w:qFormat/>
    <w:rsid w:val="00D0080F"/>
    <w:pPr>
      <w:ind w:left="708"/>
    </w:pPr>
  </w:style>
  <w:style w:type="character" w:customStyle="1" w:styleId="Nagwek1Znak">
    <w:name w:val="Nagłówek 1 Znak"/>
    <w:basedOn w:val="Domylnaczcionkaakapitu"/>
    <w:link w:val="Nagwek1"/>
    <w:uiPriority w:val="9"/>
    <w:rsid w:val="00605389"/>
    <w:rPr>
      <w:rFonts w:ascii="Times" w:eastAsiaTheme="majorEastAsia" w:hAnsi="Times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rsid w:val="00961652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paragraph" w:customStyle="1" w:styleId="data">
    <w:name w:val="data"/>
    <w:basedOn w:val="Podtytu"/>
    <w:next w:val="podstawaprawna"/>
    <w:link w:val="dataZnak"/>
    <w:qFormat/>
    <w:rsid w:val="00507D49"/>
    <w:pPr>
      <w:spacing w:after="240"/>
      <w:outlineLvl w:val="2"/>
    </w:pPr>
  </w:style>
  <w:style w:type="paragraph" w:customStyle="1" w:styleId="podstawaprawna">
    <w:name w:val="podstawa prawna"/>
    <w:basedOn w:val="data"/>
    <w:link w:val="podstawaprawnaZnak"/>
    <w:autoRedefine/>
    <w:qFormat/>
    <w:rsid w:val="00E437A8"/>
    <w:pPr>
      <w:spacing w:before="240"/>
      <w:jc w:val="both"/>
    </w:pPr>
    <w:rPr>
      <w:b w:val="0"/>
      <w:sz w:val="24"/>
    </w:rPr>
  </w:style>
  <w:style w:type="character" w:customStyle="1" w:styleId="dataZnak">
    <w:name w:val="data Znak"/>
    <w:basedOn w:val="PodtytuZnak"/>
    <w:link w:val="data"/>
    <w:rsid w:val="00507D49"/>
    <w:rPr>
      <w:b/>
      <w:sz w:val="28"/>
    </w:rPr>
  </w:style>
  <w:style w:type="paragraph" w:customStyle="1" w:styleId="paragraf">
    <w:name w:val="paragraf"/>
    <w:basedOn w:val="podstawaprawna"/>
    <w:next w:val="akapit"/>
    <w:link w:val="paragrafZnak"/>
    <w:qFormat/>
    <w:rsid w:val="00605389"/>
    <w:pPr>
      <w:numPr>
        <w:ilvl w:val="0"/>
        <w:numId w:val="20"/>
      </w:numPr>
      <w:spacing w:before="120" w:after="0"/>
      <w:ind w:left="0" w:firstLine="0"/>
      <w:jc w:val="center"/>
    </w:pPr>
    <w:rPr>
      <w:b/>
    </w:rPr>
  </w:style>
  <w:style w:type="character" w:customStyle="1" w:styleId="podstawaprawnaZnak">
    <w:name w:val="podstawa prawna Znak"/>
    <w:basedOn w:val="dataZnak"/>
    <w:link w:val="podstawaprawna"/>
    <w:rsid w:val="00E437A8"/>
    <w:rPr>
      <w:b w:val="0"/>
      <w:sz w:val="24"/>
    </w:rPr>
  </w:style>
  <w:style w:type="character" w:styleId="Odwoaniedelikatne">
    <w:name w:val="Subtle Reference"/>
    <w:basedOn w:val="Domylnaczcionkaakapitu"/>
    <w:uiPriority w:val="31"/>
    <w:rsid w:val="005B0F6A"/>
    <w:rPr>
      <w:smallCaps/>
      <w:color w:val="5A5A5A" w:themeColor="text1" w:themeTint="A5"/>
    </w:rPr>
  </w:style>
  <w:style w:type="character" w:customStyle="1" w:styleId="paragrafZnak">
    <w:name w:val="paragraf Znak"/>
    <w:basedOn w:val="podstawaprawnaZnak"/>
    <w:link w:val="paragraf"/>
    <w:rsid w:val="00605389"/>
    <w:rPr>
      <w:b/>
      <w:sz w:val="24"/>
    </w:rPr>
  </w:style>
  <w:style w:type="paragraph" w:customStyle="1" w:styleId="1wyliczanka">
    <w:name w:val="1. wyliczanka"/>
    <w:basedOn w:val="paragraf"/>
    <w:link w:val="1wyliczankaZnak"/>
    <w:qFormat/>
    <w:rsid w:val="00E437A8"/>
    <w:pPr>
      <w:numPr>
        <w:numId w:val="23"/>
      </w:numPr>
      <w:spacing w:before="0" w:after="60"/>
      <w:ind w:left="340" w:hanging="340"/>
      <w:jc w:val="both"/>
      <w:outlineLvl w:val="0"/>
    </w:pPr>
    <w:rPr>
      <w:b w:val="0"/>
    </w:rPr>
  </w:style>
  <w:style w:type="paragraph" w:customStyle="1" w:styleId="1wyliczanka0">
    <w:name w:val="1) wyliczanka"/>
    <w:basedOn w:val="1wyliczanka"/>
    <w:link w:val="1wyliczankaZnak0"/>
    <w:qFormat/>
    <w:rsid w:val="00E437A8"/>
    <w:pPr>
      <w:numPr>
        <w:numId w:val="0"/>
      </w:numPr>
      <w:outlineLvl w:val="1"/>
    </w:pPr>
  </w:style>
  <w:style w:type="character" w:customStyle="1" w:styleId="1wyliczankaZnak">
    <w:name w:val="1. wyliczanka Znak"/>
    <w:basedOn w:val="paragrafZnak"/>
    <w:link w:val="1wyliczanka"/>
    <w:rsid w:val="00E437A8"/>
    <w:rPr>
      <w:b w:val="0"/>
      <w:sz w:val="24"/>
    </w:rPr>
  </w:style>
  <w:style w:type="paragraph" w:customStyle="1" w:styleId="awyliczanka">
    <w:name w:val="a) wyliczanka"/>
    <w:basedOn w:val="1wyliczanka0"/>
    <w:link w:val="awyliczankaZnak"/>
    <w:qFormat/>
    <w:rsid w:val="00347E51"/>
    <w:pPr>
      <w:numPr>
        <w:numId w:val="10"/>
      </w:numPr>
      <w:spacing w:after="0"/>
      <w:ind w:left="1020" w:hanging="340"/>
      <w:outlineLvl w:val="2"/>
    </w:pPr>
  </w:style>
  <w:style w:type="character" w:customStyle="1" w:styleId="1wyliczankaZnak0">
    <w:name w:val="1) wyliczanka Znak"/>
    <w:basedOn w:val="1wyliczankaZnak"/>
    <w:link w:val="1wyliczanka0"/>
    <w:rsid w:val="00E437A8"/>
    <w:rPr>
      <w:b w:val="0"/>
      <w:sz w:val="24"/>
    </w:rPr>
  </w:style>
  <w:style w:type="character" w:styleId="Pogrubienie">
    <w:name w:val="Strong"/>
    <w:basedOn w:val="Domylnaczcionkaakapitu"/>
    <w:locked/>
    <w:rsid w:val="00605389"/>
    <w:rPr>
      <w:b/>
      <w:bCs/>
    </w:rPr>
  </w:style>
  <w:style w:type="character" w:customStyle="1" w:styleId="awyliczankaZnak">
    <w:name w:val="a) wyliczanka Znak"/>
    <w:basedOn w:val="1wyliczankaZnak0"/>
    <w:link w:val="awyliczanka"/>
    <w:rsid w:val="00347E51"/>
    <w:rPr>
      <w:b w:val="0"/>
      <w:sz w:val="24"/>
    </w:rPr>
  </w:style>
  <w:style w:type="paragraph" w:customStyle="1" w:styleId="akapit">
    <w:name w:val="akapit"/>
    <w:basedOn w:val="Normalny"/>
    <w:next w:val="1wyliczanka"/>
    <w:link w:val="akapitZnak"/>
    <w:qFormat/>
    <w:rsid w:val="00E437A8"/>
  </w:style>
  <w:style w:type="paragraph" w:customStyle="1" w:styleId="1akwyliczanka">
    <w:name w:val="1)ak wyliczanka"/>
    <w:basedOn w:val="1wyliczanka0"/>
    <w:link w:val="1akwyliczankaZnak"/>
    <w:qFormat/>
    <w:rsid w:val="007A1154"/>
    <w:pPr>
      <w:ind w:left="680"/>
    </w:pPr>
  </w:style>
  <w:style w:type="character" w:customStyle="1" w:styleId="akapitZnak">
    <w:name w:val="akapit Znak"/>
    <w:basedOn w:val="Domylnaczcionkaakapitu"/>
    <w:link w:val="akapit"/>
    <w:rsid w:val="00E437A8"/>
    <w:rPr>
      <w:bCs/>
      <w:sz w:val="24"/>
      <w:szCs w:val="20"/>
    </w:rPr>
  </w:style>
  <w:style w:type="paragraph" w:customStyle="1" w:styleId="rektorpodpis">
    <w:name w:val="rektor podpis"/>
    <w:basedOn w:val="1wyliczanka"/>
    <w:link w:val="rektorpodpisZnak"/>
    <w:qFormat/>
    <w:rsid w:val="00D6622C"/>
    <w:pPr>
      <w:numPr>
        <w:numId w:val="0"/>
      </w:numPr>
      <w:spacing w:before="240" w:after="0" w:line="720" w:lineRule="auto"/>
      <w:ind w:left="5670"/>
      <w:jc w:val="center"/>
    </w:pPr>
  </w:style>
  <w:style w:type="character" w:customStyle="1" w:styleId="1akwyliczankaZnak">
    <w:name w:val="1)ak wyliczanka Znak"/>
    <w:basedOn w:val="1wyliczankaZnak0"/>
    <w:link w:val="1akwyliczanka"/>
    <w:rsid w:val="007A1154"/>
    <w:rPr>
      <w:b w:val="0"/>
      <w:sz w:val="24"/>
    </w:rPr>
  </w:style>
  <w:style w:type="character" w:customStyle="1" w:styleId="rektorpodpisZnak">
    <w:name w:val="rektor podpis Znak"/>
    <w:basedOn w:val="1wyliczankaZnak"/>
    <w:link w:val="rektorpodpis"/>
    <w:rsid w:val="00D6622C"/>
    <w:rPr>
      <w:b w:val="0"/>
      <w:sz w:val="24"/>
    </w:rPr>
  </w:style>
  <w:style w:type="paragraph" w:styleId="Nagwek">
    <w:name w:val="header"/>
    <w:basedOn w:val="Normalny"/>
    <w:link w:val="NagwekZnak"/>
    <w:uiPriority w:val="99"/>
    <w:unhideWhenUsed/>
    <w:rsid w:val="00327FC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FCD"/>
    <w:rPr>
      <w:bCs/>
      <w:sz w:val="24"/>
      <w:szCs w:val="20"/>
    </w:rPr>
  </w:style>
  <w:style w:type="paragraph" w:styleId="Stopka">
    <w:name w:val="footer"/>
    <w:basedOn w:val="Normalny"/>
    <w:link w:val="StopkaZnak"/>
    <w:uiPriority w:val="99"/>
    <w:unhideWhenUsed/>
    <w:rsid w:val="00327FC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7FCD"/>
    <w:rPr>
      <w:bCs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572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5724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43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7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ns:customPropertyEditors xmlns:tns="http://schemas.microsoft.com/office/2006/customDocumentInformationPanel">
  <tns:showOnOpen>false</tns:showOnOpen>
  <tns:defaultPropertyEditorNamespace>Właściwości standardowe</tns:defaultPropertyEditorNamespace>
</tns:customPropertyEditors>
</file>

<file path=customXml/itemProps1.xml><?xml version="1.0" encoding="utf-8"?>
<ds:datastoreItem xmlns:ds="http://schemas.openxmlformats.org/officeDocument/2006/customXml" ds:itemID="{741A43B2-FE6C-4F96-A74D-4F46EEACC4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98D37E-0E61-4436-876C-B7CBC7A0583A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483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 nr 16 Rektora ZUT z dnia 9 maja 2022 r. o ustalaniu wysokości odsetek ustawowych za opóźnienie</vt:lpstr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 nr 16 Rektora ZUT z dnia 9 maja 2022 r. o ustalaniu wysokości odsetek ustawowych za opóźnienie</dc:title>
  <dc:subject/>
  <dc:creator>Anita Wiśniewska</dc:creator>
  <cp:keywords/>
  <dc:description/>
  <cp:lastModifiedBy>Gabriela Pasturczak</cp:lastModifiedBy>
  <cp:revision>6</cp:revision>
  <cp:lastPrinted>2022-05-09T08:00:00Z</cp:lastPrinted>
  <dcterms:created xsi:type="dcterms:W3CDTF">2022-05-09T08:11:00Z</dcterms:created>
  <dcterms:modified xsi:type="dcterms:W3CDTF">2022-05-09T12:31:00Z</dcterms:modified>
</cp:coreProperties>
</file>