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735" w14:textId="272ACBEB" w:rsidR="00A91734" w:rsidRDefault="00961652" w:rsidP="00961652">
      <w:pPr>
        <w:pStyle w:val="Tytu"/>
      </w:pPr>
      <w:bookmarkStart w:id="0" w:name="_Hlk90297385"/>
      <w:r>
        <w:t xml:space="preserve">zarządzenie nr </w:t>
      </w:r>
      <w:r w:rsidR="00F16502">
        <w:t xml:space="preserve">64 </w:t>
      </w:r>
    </w:p>
    <w:p w14:paraId="3321AB00" w14:textId="726D2DAE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F16502">
        <w:rPr>
          <w:sz w:val="28"/>
          <w:szCs w:val="28"/>
        </w:rPr>
        <w:t>29 kwietnia</w:t>
      </w:r>
      <w:r w:rsidR="00B32302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585B64">
        <w:rPr>
          <w:sz w:val="28"/>
          <w:szCs w:val="28"/>
        </w:rPr>
        <w:t>2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2DA9E476" w14:textId="77777777" w:rsidR="00507D49" w:rsidRPr="009E689D" w:rsidRDefault="00256B11" w:rsidP="00DC41EE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zmieniające zarządzenie nr 52 Rektora ZUT z dnia 16 września 2019 r. </w:t>
      </w:r>
      <w:r>
        <w:rPr>
          <w:rFonts w:ascii="Times New Roman" w:hAnsi="Times New Roman" w:cs="Times New Roman"/>
        </w:rPr>
        <w:br/>
      </w:r>
      <w:r w:rsidRPr="00151EB2">
        <w:rPr>
          <w:rFonts w:ascii="Times New Roman" w:hAnsi="Times New Roman" w:cs="Times New Roman"/>
          <w:bCs/>
          <w:szCs w:val="24"/>
        </w:rPr>
        <w:t xml:space="preserve">w sprawie </w:t>
      </w:r>
      <w:r w:rsidRPr="009F507F">
        <w:rPr>
          <w:rFonts w:ascii="Times New Roman" w:hAnsi="Times New Roman" w:cs="Times New Roman"/>
          <w:bCs/>
          <w:szCs w:val="24"/>
        </w:rPr>
        <w:t>wprowadzenia</w:t>
      </w:r>
      <w:r w:rsidRPr="00151EB2">
        <w:rPr>
          <w:rFonts w:ascii="Times New Roman" w:hAnsi="Times New Roman" w:cs="Times New Roman"/>
          <w:bCs/>
          <w:szCs w:val="24"/>
        </w:rPr>
        <w:t xml:space="preserve"> Regulaminu pracy </w:t>
      </w:r>
      <w:r>
        <w:rPr>
          <w:rFonts w:ascii="Times New Roman" w:hAnsi="Times New Roman" w:cs="Times New Roman"/>
          <w:bCs/>
          <w:szCs w:val="24"/>
        </w:rPr>
        <w:br/>
      </w:r>
      <w:r w:rsidRPr="00151EB2">
        <w:rPr>
          <w:rFonts w:ascii="Times New Roman" w:hAnsi="Times New Roman" w:cs="Times New Roman"/>
          <w:szCs w:val="24"/>
        </w:rPr>
        <w:t>Zachodniopomorskiego Uniwersytetu Technologicznego w Szczecinie</w:t>
      </w:r>
      <w:bookmarkEnd w:id="0"/>
    </w:p>
    <w:p w14:paraId="69AE44F4" w14:textId="4191E41C" w:rsidR="00507D49" w:rsidRDefault="00507D49" w:rsidP="00401575">
      <w:pPr>
        <w:pStyle w:val="podstawaprawna"/>
        <w:spacing w:before="240" w:after="120"/>
      </w:pPr>
      <w:r w:rsidRPr="00F16502">
        <w:t xml:space="preserve">Na podstawie art. </w:t>
      </w:r>
      <w:r w:rsidR="00C221FC" w:rsidRPr="00F16502">
        <w:t xml:space="preserve">23 </w:t>
      </w:r>
      <w:r w:rsidRPr="00F16502">
        <w:t xml:space="preserve">ustawy z dnia 20 lipca 2018 r. Prawo o szkolnictwie </w:t>
      </w:r>
      <w:r w:rsidR="00FE2680" w:rsidRPr="00F16502">
        <w:t>wyższym i nauce (tekst jedn. Dz. U. z 202</w:t>
      </w:r>
      <w:r w:rsidR="00F16502" w:rsidRPr="00F16502">
        <w:t>2</w:t>
      </w:r>
      <w:r w:rsidR="00FE2680" w:rsidRPr="00F16502">
        <w:t xml:space="preserve"> r. poz. </w:t>
      </w:r>
      <w:r w:rsidR="00F16502" w:rsidRPr="00F16502">
        <w:t>574</w:t>
      </w:r>
      <w:r w:rsidR="006C38A1" w:rsidRPr="00F16502">
        <w:t>, z późn. zm.</w:t>
      </w:r>
      <w:r w:rsidRPr="00F16502">
        <w:t>)</w:t>
      </w:r>
      <w:r w:rsidR="00256B11" w:rsidRPr="00F16502">
        <w:t xml:space="preserve"> </w:t>
      </w:r>
      <w:r w:rsidR="00256B11" w:rsidRPr="00F16502">
        <w:rPr>
          <w:szCs w:val="24"/>
        </w:rPr>
        <w:t>oraz na podstawie 104</w:t>
      </w:r>
      <w:r w:rsidR="00F16502" w:rsidRPr="00F16502">
        <w:rPr>
          <w:szCs w:val="24"/>
        </w:rPr>
        <w:t xml:space="preserve"> </w:t>
      </w:r>
      <w:r w:rsidR="00256B11" w:rsidRPr="00F16502">
        <w:rPr>
          <w:szCs w:val="24"/>
        </w:rPr>
        <w:t>§ 1</w:t>
      </w:r>
      <w:r w:rsidR="00256B11" w:rsidRPr="00F16502">
        <w:rPr>
          <w:szCs w:val="24"/>
          <w:vertAlign w:val="superscript"/>
        </w:rPr>
        <w:t xml:space="preserve">1 </w:t>
      </w:r>
      <w:r w:rsidR="00256B11" w:rsidRPr="00F16502">
        <w:rPr>
          <w:szCs w:val="24"/>
        </w:rPr>
        <w:t>ustawy z dnia 26</w:t>
      </w:r>
      <w:r w:rsidR="006C38A1" w:rsidRPr="00F16502">
        <w:rPr>
          <w:szCs w:val="24"/>
        </w:rPr>
        <w:t> </w:t>
      </w:r>
      <w:r w:rsidR="00256B11" w:rsidRPr="00F16502">
        <w:rPr>
          <w:szCs w:val="24"/>
        </w:rPr>
        <w:t xml:space="preserve">czerwca 1974 r. Kodeks pracy (tekst jedn. Dz. U. z </w:t>
      </w:r>
      <w:r w:rsidR="006E325C" w:rsidRPr="00F16502">
        <w:rPr>
          <w:szCs w:val="24"/>
        </w:rPr>
        <w:t>2020</w:t>
      </w:r>
      <w:r w:rsidR="00256B11" w:rsidRPr="00F16502">
        <w:rPr>
          <w:szCs w:val="24"/>
        </w:rPr>
        <w:t xml:space="preserve"> r. poz.</w:t>
      </w:r>
      <w:r w:rsidR="00401575">
        <w:rPr>
          <w:szCs w:val="24"/>
        </w:rPr>
        <w:t> </w:t>
      </w:r>
      <w:r w:rsidR="006E325C" w:rsidRPr="00F16502">
        <w:rPr>
          <w:szCs w:val="24"/>
        </w:rPr>
        <w:t>1320</w:t>
      </w:r>
      <w:r w:rsidR="00256B11" w:rsidRPr="00F16502">
        <w:rPr>
          <w:szCs w:val="24"/>
        </w:rPr>
        <w:t xml:space="preserve">, z późn. zm.), w uzgodnieniu z zakładowymi organizacjami związków zawodowych, </w:t>
      </w:r>
      <w:r w:rsidR="00256B11" w:rsidRPr="00F16502">
        <w:rPr>
          <w:bCs/>
          <w:szCs w:val="24"/>
        </w:rPr>
        <w:t>zarządza się, co następuje</w:t>
      </w:r>
      <w:r w:rsidR="00605389">
        <w:t>:</w:t>
      </w:r>
    </w:p>
    <w:p w14:paraId="5D98266C" w14:textId="77777777" w:rsidR="00C221FC" w:rsidRDefault="00C221FC" w:rsidP="00C97FF9">
      <w:pPr>
        <w:pStyle w:val="paragraf"/>
        <w:ind w:left="0"/>
        <w:outlineLvl w:val="9"/>
      </w:pPr>
    </w:p>
    <w:p w14:paraId="3106D8A6" w14:textId="1237DE7D" w:rsidR="00585B64" w:rsidRDefault="000D1B48" w:rsidP="00C97FF9">
      <w:pPr>
        <w:pStyle w:val="akapit"/>
      </w:pPr>
      <w:r w:rsidRPr="00401575">
        <w:t xml:space="preserve">W </w:t>
      </w:r>
      <w:r w:rsidR="00401575" w:rsidRPr="00401575">
        <w:t>Regulamin</w:t>
      </w:r>
      <w:r w:rsidR="00401575" w:rsidRPr="00401575">
        <w:t>ie</w:t>
      </w:r>
      <w:r w:rsidR="00401575" w:rsidRPr="00401575">
        <w:t xml:space="preserve"> pracy Zachodniopomorskiego Uniwersytetu Technologicznego w Szczecinie</w:t>
      </w:r>
      <w:r w:rsidR="00401575" w:rsidRPr="00401575">
        <w:t xml:space="preserve">, </w:t>
      </w:r>
      <w:r w:rsidR="00AE471B">
        <w:t xml:space="preserve">stanowiącym załącznik do </w:t>
      </w:r>
      <w:r w:rsidRPr="00F16502">
        <w:rPr>
          <w:spacing w:val="-2"/>
        </w:rPr>
        <w:t>zarządzeni</w:t>
      </w:r>
      <w:r w:rsidR="00AE471B">
        <w:rPr>
          <w:spacing w:val="-2"/>
        </w:rPr>
        <w:t>a</w:t>
      </w:r>
      <w:r w:rsidR="00256B11" w:rsidRPr="00F16502">
        <w:rPr>
          <w:spacing w:val="-2"/>
        </w:rPr>
        <w:t xml:space="preserve"> nr 52 Rektora ZUT z dnia 16 września 2019 r.</w:t>
      </w:r>
      <w:r w:rsidR="00585B64" w:rsidRPr="00F16502">
        <w:rPr>
          <w:spacing w:val="-2"/>
        </w:rPr>
        <w:t>, z późn. zm., wprowadza się zmiany</w:t>
      </w:r>
      <w:r w:rsidR="00585B64">
        <w:t xml:space="preserve">: </w:t>
      </w:r>
    </w:p>
    <w:p w14:paraId="5873F361" w14:textId="4C1AB50F" w:rsidR="00155A62" w:rsidRDefault="00155A62" w:rsidP="00C97FF9">
      <w:pPr>
        <w:pStyle w:val="1wyliczanka0"/>
        <w:spacing w:after="0"/>
        <w:outlineLvl w:val="9"/>
      </w:pPr>
      <w:r>
        <w:t>w § 48 ust. 3 otrzymuje brzmienie:</w:t>
      </w:r>
    </w:p>
    <w:p w14:paraId="6BE9069E" w14:textId="65CD7989" w:rsidR="00155A62" w:rsidRDefault="00155A62" w:rsidP="00C97FF9">
      <w:pPr>
        <w:pStyle w:val="1akwyliczanka"/>
        <w:numPr>
          <w:ilvl w:val="0"/>
          <w:numId w:val="0"/>
        </w:numPr>
        <w:spacing w:after="0"/>
        <w:ind w:left="340"/>
        <w:outlineLvl w:val="9"/>
      </w:pPr>
      <w:r>
        <w:t>„</w:t>
      </w:r>
      <w:r w:rsidRPr="00155A62">
        <w:t>3.</w:t>
      </w:r>
      <w:r w:rsidR="000B5DAC">
        <w:t> </w:t>
      </w:r>
      <w:r w:rsidRPr="00C61E86">
        <w:rPr>
          <w:spacing w:val="-2"/>
        </w:rPr>
        <w:t>Nauczycielowi akademickiemu, za jego zgodą, może być powierzone prowadzenie zajęć dydaktycznych w godzinach ponadwymiarowych, w wymiarze nieprzekraczającym dwukrotności rocznego wymiaru zajęć dydaktycznych obowiązującego dla danego stanowiska</w:t>
      </w:r>
      <w:r w:rsidR="007A7BCB" w:rsidRPr="00C61E86">
        <w:rPr>
          <w:spacing w:val="-2"/>
        </w:rPr>
        <w:t xml:space="preserve"> w poszczególnych grupach pracowniczych</w:t>
      </w:r>
      <w:r>
        <w:t>.”;</w:t>
      </w:r>
    </w:p>
    <w:p w14:paraId="23D4580F" w14:textId="099C9E5C" w:rsidR="00585B64" w:rsidRDefault="00585B64" w:rsidP="00C97FF9">
      <w:pPr>
        <w:pStyle w:val="1wyliczanka0"/>
        <w:spacing w:after="0"/>
        <w:outlineLvl w:val="9"/>
      </w:pPr>
      <w:r>
        <w:t>w § 49:</w:t>
      </w:r>
    </w:p>
    <w:p w14:paraId="54310740" w14:textId="5FE72D0E" w:rsidR="00585B64" w:rsidRDefault="00585B64" w:rsidP="00C97FF9">
      <w:pPr>
        <w:pStyle w:val="1akwyliczanka"/>
        <w:numPr>
          <w:ilvl w:val="0"/>
          <w:numId w:val="28"/>
        </w:numPr>
        <w:spacing w:after="0"/>
        <w:ind w:left="697" w:hanging="357"/>
        <w:outlineLvl w:val="9"/>
      </w:pPr>
      <w:r>
        <w:t>w ust. 3 uchyla się pkt 1,</w:t>
      </w:r>
    </w:p>
    <w:p w14:paraId="42B85956" w14:textId="209CA1FA" w:rsidR="00585B64" w:rsidRDefault="00585B64" w:rsidP="00C97FF9">
      <w:pPr>
        <w:pStyle w:val="1akwyliczanka"/>
        <w:numPr>
          <w:ilvl w:val="0"/>
          <w:numId w:val="28"/>
        </w:numPr>
        <w:spacing w:after="0"/>
        <w:ind w:left="697" w:hanging="357"/>
        <w:outlineLvl w:val="9"/>
      </w:pPr>
      <w:r>
        <w:t>po ust. 3 dodaje się ust. 3a w brzmieniu:</w:t>
      </w:r>
    </w:p>
    <w:p w14:paraId="33FEB456" w14:textId="53233E01" w:rsidR="00585B64" w:rsidRPr="00F16502" w:rsidRDefault="00585B64" w:rsidP="00C97FF9">
      <w:pPr>
        <w:pStyle w:val="1akwyliczanka"/>
        <w:numPr>
          <w:ilvl w:val="0"/>
          <w:numId w:val="0"/>
        </w:numPr>
        <w:spacing w:after="0"/>
        <w:ind w:left="680"/>
        <w:outlineLvl w:val="9"/>
      </w:pPr>
      <w:r w:rsidRPr="00F16502">
        <w:t>„3a.</w:t>
      </w:r>
      <w:r w:rsidR="000B5DAC">
        <w:t> </w:t>
      </w:r>
      <w:r w:rsidRPr="00F16502">
        <w:t>Rektor, w drodze indywidualnej decyzji, na wniosek właściwego dziekana, może obniżyć roczny wymiar zajęć dydaktycznych do 50% podstawowego wymiaru zajęć dydaktycznych nauczyciela akademickiego, pod warunkiem zabezpieczenia na ten cel środków w projekcie, zgodnie z obowiązującym regulaminem danego konkursu.</w:t>
      </w:r>
      <w:r w:rsidR="00E70BA1" w:rsidRPr="00F16502">
        <w:t>”;</w:t>
      </w:r>
    </w:p>
    <w:p w14:paraId="1141DB62" w14:textId="399E1847" w:rsidR="00256B11" w:rsidRDefault="00585B64" w:rsidP="00C97FF9">
      <w:pPr>
        <w:pStyle w:val="1wyliczanka0"/>
        <w:spacing w:after="0"/>
        <w:outlineLvl w:val="9"/>
      </w:pPr>
      <w:r w:rsidRPr="00B03165">
        <w:t>w § 50</w:t>
      </w:r>
      <w:r w:rsidR="00B03165">
        <w:t>:</w:t>
      </w:r>
    </w:p>
    <w:p w14:paraId="01163509" w14:textId="4ED13DD1" w:rsidR="00B03165" w:rsidRDefault="00B03165" w:rsidP="00C97FF9">
      <w:pPr>
        <w:pStyle w:val="1akwyliczanka"/>
        <w:numPr>
          <w:ilvl w:val="0"/>
          <w:numId w:val="30"/>
        </w:numPr>
        <w:spacing w:after="0"/>
        <w:ind w:left="680" w:hanging="340"/>
        <w:outlineLvl w:val="9"/>
      </w:pPr>
      <w:r>
        <w:t>ust. 2 otrzymuje brzmienie:</w:t>
      </w:r>
    </w:p>
    <w:p w14:paraId="4C3D639A" w14:textId="5218FF19" w:rsidR="00B03165" w:rsidRPr="00347EDF" w:rsidRDefault="00B03165" w:rsidP="00C97FF9">
      <w:pPr>
        <w:pStyle w:val="1akwyliczanka"/>
        <w:numPr>
          <w:ilvl w:val="0"/>
          <w:numId w:val="0"/>
        </w:numPr>
        <w:spacing w:after="0"/>
        <w:ind w:left="567"/>
        <w:outlineLvl w:val="9"/>
      </w:pPr>
      <w:r w:rsidRPr="00155A62">
        <w:t xml:space="preserve">„2. </w:t>
      </w:r>
      <w:r w:rsidRPr="00C61E86">
        <w:rPr>
          <w:spacing w:val="-4"/>
        </w:rPr>
        <w:t xml:space="preserve">Maksymalna liczba godzin ponadwymiarowych dla nauczycieli, którym Rektor obniżył roczny wymiar zajęć dydaktycznych na podstawie § 49, nie może </w:t>
      </w:r>
      <w:r w:rsidR="005B5516" w:rsidRPr="00C61E86">
        <w:rPr>
          <w:spacing w:val="-4"/>
        </w:rPr>
        <w:t>przekr</w:t>
      </w:r>
      <w:r w:rsidR="00755FCC" w:rsidRPr="00C61E86">
        <w:rPr>
          <w:spacing w:val="-4"/>
        </w:rPr>
        <w:t>a</w:t>
      </w:r>
      <w:r w:rsidR="005B5516" w:rsidRPr="00C61E86">
        <w:rPr>
          <w:spacing w:val="-4"/>
        </w:rPr>
        <w:t>cz</w:t>
      </w:r>
      <w:r w:rsidR="00755FCC" w:rsidRPr="00C61E86">
        <w:rPr>
          <w:spacing w:val="-4"/>
        </w:rPr>
        <w:t>a</w:t>
      </w:r>
      <w:r w:rsidR="005B5516" w:rsidRPr="00C61E86">
        <w:rPr>
          <w:spacing w:val="-4"/>
        </w:rPr>
        <w:t xml:space="preserve">ć </w:t>
      </w:r>
      <w:r w:rsidRPr="00C61E86">
        <w:rPr>
          <w:spacing w:val="-4"/>
        </w:rPr>
        <w:t>35% podstawowego wymiaru zajęć dydaktycznych danego nauczyciela akademickiego (przed jego obniżką). Ograniczenie to nie obejmuje godzin zajęć dydaktycznych: ze studentami zagranicznymi w ramach programu</w:t>
      </w:r>
      <w:r w:rsidRPr="00C61E86">
        <w:rPr>
          <w:spacing w:val="-2"/>
        </w:rPr>
        <w:t xml:space="preserve"> Erasmus+, z tytułu opieki nad studentem przygotowującym pracę dyplomową, z tytułu realizacji </w:t>
      </w:r>
      <w:r w:rsidR="00155A62" w:rsidRPr="00C61E86">
        <w:rPr>
          <w:spacing w:val="-2"/>
        </w:rPr>
        <w:t xml:space="preserve">indywidualnych zajęć doktoranta z promotorem </w:t>
      </w:r>
      <w:r w:rsidRPr="00C61E86">
        <w:rPr>
          <w:spacing w:val="-2"/>
        </w:rPr>
        <w:t>oraz osób, które nie otrzymują dodatku funkcyjnego lub zasiadają w Radzie Uczelni</w:t>
      </w:r>
      <w:r w:rsidRPr="00347EDF">
        <w:t>.”,</w:t>
      </w:r>
    </w:p>
    <w:p w14:paraId="2D486ED9" w14:textId="0D906B73" w:rsidR="00B03165" w:rsidRDefault="00B03165" w:rsidP="00C97FF9">
      <w:pPr>
        <w:pStyle w:val="1akwyliczanka"/>
        <w:numPr>
          <w:ilvl w:val="0"/>
          <w:numId w:val="30"/>
        </w:numPr>
        <w:spacing w:after="0"/>
        <w:ind w:left="697" w:hanging="357"/>
        <w:outlineLvl w:val="9"/>
      </w:pPr>
      <w:r>
        <w:t xml:space="preserve">po ust. 2 dodaje się ust. 2a w </w:t>
      </w:r>
      <w:r w:rsidR="00A759D1">
        <w:t>brzmieniu</w:t>
      </w:r>
      <w:r>
        <w:t>:</w:t>
      </w:r>
    </w:p>
    <w:p w14:paraId="48F83A18" w14:textId="1567C98A" w:rsidR="00B03165" w:rsidRPr="00D9479E" w:rsidRDefault="00B03165" w:rsidP="00C97FF9">
      <w:pPr>
        <w:pStyle w:val="1akwyliczanka"/>
        <w:numPr>
          <w:ilvl w:val="0"/>
          <w:numId w:val="0"/>
        </w:numPr>
        <w:spacing w:after="0"/>
        <w:ind w:left="680"/>
        <w:outlineLvl w:val="9"/>
      </w:pPr>
      <w:r w:rsidRPr="00D9479E">
        <w:t xml:space="preserve">„2a. </w:t>
      </w:r>
      <w:r w:rsidRPr="00C61E86">
        <w:rPr>
          <w:spacing w:val="-2"/>
        </w:rPr>
        <w:t>W uzasadnionych przypadkach związanych z zapewnieniem ciągłości i jakości kształcenia w</w:t>
      </w:r>
      <w:r w:rsidR="00FC7AEB" w:rsidRPr="00C61E86">
        <w:rPr>
          <w:spacing w:val="-2"/>
        </w:rPr>
        <w:t xml:space="preserve"> </w:t>
      </w:r>
      <w:r w:rsidRPr="00C61E86">
        <w:rPr>
          <w:spacing w:val="-2"/>
        </w:rPr>
        <w:t xml:space="preserve">Uczelni, </w:t>
      </w:r>
      <w:r w:rsidR="005B5516" w:rsidRPr="00C61E86">
        <w:rPr>
          <w:spacing w:val="-2"/>
        </w:rPr>
        <w:t xml:space="preserve">Rektor w drodze indywidualnej decyzji, na wniosek właściwego dziekana, może </w:t>
      </w:r>
      <w:r w:rsidR="005B5516" w:rsidRPr="00C97FF9">
        <w:rPr>
          <w:spacing w:val="-4"/>
        </w:rPr>
        <w:t>wyrazić zgodę na przekroczenie maksymalnej liczby godzin ponadwymiarowych dla nauczycieli,</w:t>
      </w:r>
      <w:r w:rsidRPr="00C61E86">
        <w:rPr>
          <w:spacing w:val="-2"/>
        </w:rPr>
        <w:t xml:space="preserve"> o któr</w:t>
      </w:r>
      <w:r w:rsidR="005B5516" w:rsidRPr="00C61E86">
        <w:rPr>
          <w:spacing w:val="-2"/>
        </w:rPr>
        <w:t>ej</w:t>
      </w:r>
      <w:r w:rsidRPr="00C61E86">
        <w:rPr>
          <w:spacing w:val="-2"/>
        </w:rPr>
        <w:t xml:space="preserve"> mowa w</w:t>
      </w:r>
      <w:r w:rsidR="00E70BA1" w:rsidRPr="00C61E86">
        <w:rPr>
          <w:spacing w:val="-2"/>
        </w:rPr>
        <w:t> </w:t>
      </w:r>
      <w:r w:rsidRPr="00C61E86">
        <w:rPr>
          <w:spacing w:val="-2"/>
        </w:rPr>
        <w:t>ust. 2</w:t>
      </w:r>
      <w:r w:rsidR="00D9479E" w:rsidRPr="00C61E86">
        <w:rPr>
          <w:spacing w:val="-2"/>
        </w:rPr>
        <w:t>, jednak nie więcej niż o 50 godzin</w:t>
      </w:r>
      <w:r w:rsidRPr="00D9479E">
        <w:t>.”.</w:t>
      </w:r>
    </w:p>
    <w:p w14:paraId="76C6E3B0" w14:textId="77777777" w:rsidR="00C221FC" w:rsidRPr="00D236AC" w:rsidRDefault="00C221FC" w:rsidP="00C97FF9">
      <w:pPr>
        <w:pStyle w:val="paragraf"/>
        <w:ind w:left="0"/>
        <w:outlineLvl w:val="9"/>
      </w:pPr>
    </w:p>
    <w:p w14:paraId="67624AEA" w14:textId="4E786669" w:rsidR="006E325C" w:rsidRDefault="00C221FC" w:rsidP="00C61E86">
      <w:pPr>
        <w:pStyle w:val="akapit"/>
        <w:spacing w:after="120"/>
        <w:rPr>
          <w:szCs w:val="24"/>
        </w:rPr>
      </w:pPr>
      <w:r>
        <w:t>Zarządzenie wchodzi w życie z dniem podpisania</w:t>
      </w:r>
      <w:r w:rsidR="00256B11">
        <w:t xml:space="preserve">, </w:t>
      </w:r>
      <w:r w:rsidR="00256B11" w:rsidRPr="009A688C">
        <w:rPr>
          <w:szCs w:val="24"/>
        </w:rPr>
        <w:t xml:space="preserve">z mocą </w:t>
      </w:r>
      <w:r w:rsidR="00256B11" w:rsidRPr="0068697E">
        <w:t>obowiązującą</w:t>
      </w:r>
      <w:r w:rsidR="00256B11" w:rsidRPr="009A688C">
        <w:rPr>
          <w:szCs w:val="24"/>
        </w:rPr>
        <w:t xml:space="preserve"> od </w:t>
      </w:r>
      <w:r w:rsidR="00F22C62">
        <w:rPr>
          <w:szCs w:val="24"/>
        </w:rPr>
        <w:t xml:space="preserve">dnia </w:t>
      </w:r>
      <w:r w:rsidR="009A6543">
        <w:rPr>
          <w:szCs w:val="24"/>
        </w:rPr>
        <w:t xml:space="preserve">14 maja </w:t>
      </w:r>
      <w:r w:rsidR="00D12942">
        <w:rPr>
          <w:szCs w:val="24"/>
        </w:rPr>
        <w:t>202</w:t>
      </w:r>
      <w:r w:rsidR="00B03165">
        <w:rPr>
          <w:szCs w:val="24"/>
        </w:rPr>
        <w:t>2</w:t>
      </w:r>
      <w:r w:rsidR="00256B11">
        <w:rPr>
          <w:szCs w:val="24"/>
        </w:rPr>
        <w:t xml:space="preserve"> </w:t>
      </w:r>
      <w:r w:rsidR="00256B11" w:rsidRPr="009A688C">
        <w:rPr>
          <w:szCs w:val="24"/>
        </w:rPr>
        <w:t>r.</w:t>
      </w:r>
    </w:p>
    <w:p w14:paraId="17E3D7E9" w14:textId="166756AF" w:rsidR="009A6543" w:rsidRPr="009A6543" w:rsidRDefault="009A6543" w:rsidP="00C97FF9">
      <w:pPr>
        <w:pStyle w:val="rektorpodpis"/>
        <w:spacing w:before="0"/>
        <w:outlineLvl w:val="9"/>
        <w:rPr>
          <w:lang w:val="en-US"/>
        </w:rPr>
      </w:pPr>
      <w:r>
        <w:t>Rektor</w:t>
      </w:r>
      <w:r w:rsidR="00C97FF9">
        <w:br/>
      </w:r>
      <w:r w:rsidRPr="009A6543">
        <w:rPr>
          <w:lang w:val="en-US"/>
        </w:rPr>
        <w:t>dr hab. inż. Jacek Wróbel, prof. ZUT</w:t>
      </w:r>
    </w:p>
    <w:sectPr w:rsidR="009A6543" w:rsidRPr="009A6543" w:rsidSect="00C97FF9">
      <w:pgSz w:w="11906" w:h="16838" w:code="9"/>
      <w:pgMar w:top="737" w:right="851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9D05" w14:textId="77777777" w:rsidR="00780290" w:rsidRDefault="00780290" w:rsidP="0068697E">
      <w:pPr>
        <w:spacing w:line="240" w:lineRule="auto"/>
      </w:pPr>
      <w:r>
        <w:separator/>
      </w:r>
    </w:p>
  </w:endnote>
  <w:endnote w:type="continuationSeparator" w:id="0">
    <w:p w14:paraId="13CB0F99" w14:textId="77777777" w:rsidR="00780290" w:rsidRDefault="00780290" w:rsidP="00686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1D71" w14:textId="77777777" w:rsidR="00780290" w:rsidRDefault="00780290" w:rsidP="0068697E">
      <w:pPr>
        <w:spacing w:line="240" w:lineRule="auto"/>
      </w:pPr>
      <w:r>
        <w:separator/>
      </w:r>
    </w:p>
  </w:footnote>
  <w:footnote w:type="continuationSeparator" w:id="0">
    <w:p w14:paraId="29D09554" w14:textId="77777777" w:rsidR="00780290" w:rsidRDefault="00780290" w:rsidP="006869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4A802E2"/>
    <w:multiLevelType w:val="hybridMultilevel"/>
    <w:tmpl w:val="B36CA644"/>
    <w:lvl w:ilvl="0" w:tplc="0868FED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3B0D2FA4"/>
    <w:multiLevelType w:val="hybridMultilevel"/>
    <w:tmpl w:val="1B8C0EAE"/>
    <w:lvl w:ilvl="0" w:tplc="3100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2680" w:hanging="360"/>
      </w:pPr>
    </w:lvl>
    <w:lvl w:ilvl="1" w:tplc="04150019" w:tentative="1">
      <w:start w:val="1"/>
      <w:numFmt w:val="lowerLetter"/>
      <w:lvlText w:val="%2."/>
      <w:lvlJc w:val="left"/>
      <w:pPr>
        <w:ind w:left="-1960" w:hanging="360"/>
      </w:pPr>
    </w:lvl>
    <w:lvl w:ilvl="2" w:tplc="0415001B" w:tentative="1">
      <w:start w:val="1"/>
      <w:numFmt w:val="lowerRoman"/>
      <w:lvlText w:val="%3."/>
      <w:lvlJc w:val="right"/>
      <w:pPr>
        <w:ind w:left="-1240" w:hanging="180"/>
      </w:pPr>
    </w:lvl>
    <w:lvl w:ilvl="3" w:tplc="0415000F" w:tentative="1">
      <w:start w:val="1"/>
      <w:numFmt w:val="decimal"/>
      <w:lvlText w:val="%4."/>
      <w:lvlJc w:val="left"/>
      <w:pPr>
        <w:ind w:left="-520" w:hanging="360"/>
      </w:pPr>
    </w:lvl>
    <w:lvl w:ilvl="4" w:tplc="04150019" w:tentative="1">
      <w:start w:val="1"/>
      <w:numFmt w:val="lowerLetter"/>
      <w:lvlText w:val="%5."/>
      <w:lvlJc w:val="left"/>
      <w:pPr>
        <w:ind w:left="200" w:hanging="360"/>
      </w:pPr>
    </w:lvl>
    <w:lvl w:ilvl="5" w:tplc="0415001B" w:tentative="1">
      <w:start w:val="1"/>
      <w:numFmt w:val="lowerRoman"/>
      <w:lvlText w:val="%6."/>
      <w:lvlJc w:val="right"/>
      <w:pPr>
        <w:ind w:left="920" w:hanging="180"/>
      </w:pPr>
    </w:lvl>
    <w:lvl w:ilvl="6" w:tplc="0415000F" w:tentative="1">
      <w:start w:val="1"/>
      <w:numFmt w:val="decimal"/>
      <w:lvlText w:val="%7."/>
      <w:lvlJc w:val="left"/>
      <w:pPr>
        <w:ind w:left="1640" w:hanging="360"/>
      </w:pPr>
    </w:lvl>
    <w:lvl w:ilvl="7" w:tplc="04150019" w:tentative="1">
      <w:start w:val="1"/>
      <w:numFmt w:val="lowerLetter"/>
      <w:lvlText w:val="%8."/>
      <w:lvlJc w:val="left"/>
      <w:pPr>
        <w:ind w:left="2360" w:hanging="360"/>
      </w:pPr>
    </w:lvl>
    <w:lvl w:ilvl="8" w:tplc="0415001B" w:tentative="1">
      <w:start w:val="1"/>
      <w:numFmt w:val="lowerRoman"/>
      <w:lvlText w:val="%9."/>
      <w:lvlJc w:val="right"/>
      <w:pPr>
        <w:ind w:left="3080" w:hanging="180"/>
      </w:pPr>
    </w:lvl>
  </w:abstractNum>
  <w:abstractNum w:abstractNumId="12" w15:restartNumberingAfterBreak="0">
    <w:nsid w:val="40E00484"/>
    <w:multiLevelType w:val="hybridMultilevel"/>
    <w:tmpl w:val="C8CCB284"/>
    <w:lvl w:ilvl="0" w:tplc="97ECD63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4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11A28"/>
    <w:multiLevelType w:val="multilevel"/>
    <w:tmpl w:val="050E2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C67B1"/>
    <w:multiLevelType w:val="hybridMultilevel"/>
    <w:tmpl w:val="63E81A86"/>
    <w:lvl w:ilvl="0" w:tplc="E630667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15"/>
  </w:num>
  <w:num w:numId="5">
    <w:abstractNumId w:val="4"/>
  </w:num>
  <w:num w:numId="6">
    <w:abstractNumId w:val="1"/>
  </w:num>
  <w:num w:numId="7">
    <w:abstractNumId w:val="17"/>
  </w:num>
  <w:num w:numId="8">
    <w:abstractNumId w:val="16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3"/>
  </w:num>
  <w:num w:numId="18">
    <w:abstractNumId w:val="17"/>
  </w:num>
  <w:num w:numId="19">
    <w:abstractNumId w:val="17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0"/>
  </w:num>
  <w:num w:numId="24">
    <w:abstractNumId w:val="18"/>
  </w:num>
  <w:num w:numId="25">
    <w:abstractNumId w:val="17"/>
  </w:num>
  <w:num w:numId="26">
    <w:abstractNumId w:val="6"/>
  </w:num>
  <w:num w:numId="27">
    <w:abstractNumId w:val="9"/>
  </w:num>
  <w:num w:numId="28">
    <w:abstractNumId w:val="12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D5"/>
    <w:rsid w:val="000036B2"/>
    <w:rsid w:val="000B5DAC"/>
    <w:rsid w:val="000D1B48"/>
    <w:rsid w:val="00130C9B"/>
    <w:rsid w:val="0013646E"/>
    <w:rsid w:val="00155A62"/>
    <w:rsid w:val="00191D85"/>
    <w:rsid w:val="001D049C"/>
    <w:rsid w:val="001D5FC0"/>
    <w:rsid w:val="00256B11"/>
    <w:rsid w:val="002A3ED5"/>
    <w:rsid w:val="002B131F"/>
    <w:rsid w:val="002D604C"/>
    <w:rsid w:val="002F1774"/>
    <w:rsid w:val="00324E5A"/>
    <w:rsid w:val="00347E51"/>
    <w:rsid w:val="00347EDF"/>
    <w:rsid w:val="003C0BD5"/>
    <w:rsid w:val="00401575"/>
    <w:rsid w:val="00404C01"/>
    <w:rsid w:val="00431749"/>
    <w:rsid w:val="00464FFE"/>
    <w:rsid w:val="00507D49"/>
    <w:rsid w:val="0053358C"/>
    <w:rsid w:val="00582F83"/>
    <w:rsid w:val="00585B64"/>
    <w:rsid w:val="005A6DC5"/>
    <w:rsid w:val="005B0F6A"/>
    <w:rsid w:val="005B33C3"/>
    <w:rsid w:val="005B5516"/>
    <w:rsid w:val="005D0F14"/>
    <w:rsid w:val="005D70F0"/>
    <w:rsid w:val="00605389"/>
    <w:rsid w:val="006079A3"/>
    <w:rsid w:val="0061662A"/>
    <w:rsid w:val="0068697E"/>
    <w:rsid w:val="006C38A1"/>
    <w:rsid w:val="006C6790"/>
    <w:rsid w:val="006D6E79"/>
    <w:rsid w:val="006E325C"/>
    <w:rsid w:val="00725827"/>
    <w:rsid w:val="00755FCC"/>
    <w:rsid w:val="00761F3F"/>
    <w:rsid w:val="0077019D"/>
    <w:rsid w:val="00780290"/>
    <w:rsid w:val="00787289"/>
    <w:rsid w:val="007A7BCB"/>
    <w:rsid w:val="00807FA8"/>
    <w:rsid w:val="00873AC7"/>
    <w:rsid w:val="00881A49"/>
    <w:rsid w:val="00887C2D"/>
    <w:rsid w:val="008903F9"/>
    <w:rsid w:val="008B02BD"/>
    <w:rsid w:val="008C47EB"/>
    <w:rsid w:val="008D3161"/>
    <w:rsid w:val="008F0845"/>
    <w:rsid w:val="008F1F7C"/>
    <w:rsid w:val="0093694E"/>
    <w:rsid w:val="00961652"/>
    <w:rsid w:val="009A6543"/>
    <w:rsid w:val="009E689D"/>
    <w:rsid w:val="00A20C29"/>
    <w:rsid w:val="00A555D9"/>
    <w:rsid w:val="00A759D1"/>
    <w:rsid w:val="00A81F78"/>
    <w:rsid w:val="00A924C5"/>
    <w:rsid w:val="00AA6883"/>
    <w:rsid w:val="00AC3B1B"/>
    <w:rsid w:val="00AC3E82"/>
    <w:rsid w:val="00AC5A7D"/>
    <w:rsid w:val="00AE471B"/>
    <w:rsid w:val="00B03165"/>
    <w:rsid w:val="00B32302"/>
    <w:rsid w:val="00B46149"/>
    <w:rsid w:val="00B64582"/>
    <w:rsid w:val="00B97F13"/>
    <w:rsid w:val="00BD0CE4"/>
    <w:rsid w:val="00BD1438"/>
    <w:rsid w:val="00BE2EDE"/>
    <w:rsid w:val="00BE752D"/>
    <w:rsid w:val="00C221FC"/>
    <w:rsid w:val="00C3769D"/>
    <w:rsid w:val="00C61E86"/>
    <w:rsid w:val="00C64B43"/>
    <w:rsid w:val="00C97FF9"/>
    <w:rsid w:val="00CC4A14"/>
    <w:rsid w:val="00CC53B0"/>
    <w:rsid w:val="00D0080F"/>
    <w:rsid w:val="00D12942"/>
    <w:rsid w:val="00D77016"/>
    <w:rsid w:val="00D85605"/>
    <w:rsid w:val="00D9479E"/>
    <w:rsid w:val="00DC41EE"/>
    <w:rsid w:val="00DD0E71"/>
    <w:rsid w:val="00DD154F"/>
    <w:rsid w:val="00DD670A"/>
    <w:rsid w:val="00E123B1"/>
    <w:rsid w:val="00E36557"/>
    <w:rsid w:val="00E41F61"/>
    <w:rsid w:val="00E437A8"/>
    <w:rsid w:val="00E45AAD"/>
    <w:rsid w:val="00E60759"/>
    <w:rsid w:val="00E637E2"/>
    <w:rsid w:val="00E70BA1"/>
    <w:rsid w:val="00E86E47"/>
    <w:rsid w:val="00EB5B15"/>
    <w:rsid w:val="00EC41A9"/>
    <w:rsid w:val="00EE0E88"/>
    <w:rsid w:val="00F16502"/>
    <w:rsid w:val="00F22C62"/>
    <w:rsid w:val="00F36A77"/>
    <w:rsid w:val="00F56C58"/>
    <w:rsid w:val="00F57C7B"/>
    <w:rsid w:val="00FA370F"/>
    <w:rsid w:val="00FC4B8E"/>
    <w:rsid w:val="00FC7AEB"/>
    <w:rsid w:val="00FD7405"/>
    <w:rsid w:val="00FE2680"/>
    <w:rsid w:val="00FE2EAF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A9C9"/>
  <w15:chartTrackingRefBased/>
  <w15:docId w15:val="{4FBC1FCD-CA41-4924-93F1-4F66E6E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9A6543"/>
    <w:pPr>
      <w:spacing w:before="12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9A6543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odstawowy">
    <w:name w:val="Body Text"/>
    <w:basedOn w:val="Normalny"/>
    <w:link w:val="TekstpodstawowyZnak"/>
    <w:rsid w:val="00256B11"/>
    <w:pPr>
      <w:spacing w:line="240" w:lineRule="auto"/>
      <w:jc w:val="left"/>
    </w:pPr>
    <w:rPr>
      <w:bCs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B11"/>
    <w:rPr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B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B48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6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97E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6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97E"/>
    <w:rPr>
      <w:bCs/>
      <w:sz w:val="24"/>
      <w:szCs w:val="20"/>
    </w:rPr>
  </w:style>
  <w:style w:type="table" w:styleId="Tabela-Siatka">
    <w:name w:val="Table Grid"/>
    <w:basedOn w:val="Standardowy"/>
    <w:uiPriority w:val="39"/>
    <w:rsid w:val="006D6E7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623C58BE-43F8-4D34-A3BA-CB2AE4D05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151 Rektora ZUT z dnia 13 grudnia 2021 r. zmieniające zarządzenie nr 52 Rektora ZUT z dnia 16 września 2019 r. w sprawie wprowadzenia Regulaminu pracy ZUT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 Rektora ZUT z dnia 29 kwietnia 2022 r. zmieniające zarządzenie nr 52 Rektora ZUT z dnia 16 września 2019 r. w sprawie wprowadzenia Regulaminu pracy ZUT</dc:title>
  <dc:subject/>
  <dc:creator>Pasturczak</dc:creator>
  <cp:keywords/>
  <dc:description/>
  <cp:lastModifiedBy>Gabriela Pasturczak</cp:lastModifiedBy>
  <cp:revision>11</cp:revision>
  <cp:lastPrinted>2022-03-02T09:51:00Z</cp:lastPrinted>
  <dcterms:created xsi:type="dcterms:W3CDTF">2022-04-29T07:42:00Z</dcterms:created>
  <dcterms:modified xsi:type="dcterms:W3CDTF">2022-04-29T09:14:00Z</dcterms:modified>
</cp:coreProperties>
</file>